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3148" w:leader="none"/>
          <w:tab w:val="center" w:pos="4818" w:leader="none"/>
          <w:tab w:val="left" w:pos="6926" w:leader="none"/>
        </w:tabs>
        <w:spacing w:lineRule="auto" w:line="240"/>
        <w:ind w:hanging="0"/>
        <w:jc w:val="center"/>
        <w:rPr>
          <w:b/>
          <w:bCs/>
          <w:sz w:val="24"/>
          <w:szCs w:val="24"/>
        </w:rPr>
      </w:pPr>
      <w:r>
        <w:rPr>
          <w:b/>
          <w:bCs/>
          <w:sz w:val="24"/>
          <w:szCs w:val="24"/>
        </w:rPr>
        <w:t>Договор подряда № ____</w:t>
      </w:r>
    </w:p>
    <w:p>
      <w:pPr>
        <w:pStyle w:val="Normal"/>
        <w:spacing w:lineRule="auto" w:line="240"/>
        <w:ind w:hanging="0"/>
        <w:rPr>
          <w:b/>
          <w:bCs/>
          <w:sz w:val="24"/>
          <w:szCs w:val="24"/>
        </w:rPr>
      </w:pPr>
      <w:r>
        <w:rPr>
          <w:b/>
          <w:bCs/>
          <w:sz w:val="24"/>
          <w:szCs w:val="24"/>
        </w:rPr>
      </w:r>
    </w:p>
    <w:p>
      <w:pPr>
        <w:pStyle w:val="Normal"/>
        <w:tabs>
          <w:tab w:val="clear" w:pos="708"/>
          <w:tab w:val="right" w:pos="993" w:leader="none"/>
        </w:tabs>
        <w:spacing w:lineRule="auto" w:line="240"/>
        <w:ind w:hanging="0"/>
        <w:rPr>
          <w:bCs/>
          <w:sz w:val="24"/>
          <w:szCs w:val="24"/>
        </w:rPr>
      </w:pPr>
      <w:r>
        <w:rPr>
          <w:bCs/>
          <w:sz w:val="24"/>
          <w:szCs w:val="24"/>
        </w:rPr>
        <w:t>г. Благовещенск</w:t>
        <w:tab/>
        <w:tab/>
        <w:tab/>
        <w:tab/>
        <w:tab/>
        <w:tab/>
        <w:t xml:space="preserve">                        «___» _________ 20__ г.</w:t>
      </w:r>
    </w:p>
    <w:p>
      <w:pPr>
        <w:pStyle w:val="Normal"/>
        <w:tabs>
          <w:tab w:val="clear" w:pos="708"/>
          <w:tab w:val="right" w:pos="9639" w:leader="none"/>
        </w:tabs>
        <w:spacing w:lineRule="auto" w:line="240"/>
        <w:ind w:hanging="0"/>
        <w:rPr>
          <w:bCs/>
          <w:sz w:val="24"/>
          <w:szCs w:val="24"/>
        </w:rPr>
      </w:pPr>
      <w:r>
        <w:rPr>
          <w:bCs/>
          <w:sz w:val="24"/>
          <w:szCs w:val="24"/>
        </w:rPr>
      </w:r>
    </w:p>
    <w:p>
      <w:pPr>
        <w:pStyle w:val="Normal"/>
        <w:spacing w:lineRule="auto" w:line="240"/>
        <w:ind w:firstLine="708"/>
        <w:rPr>
          <w:sz w:val="24"/>
          <w:szCs w:val="24"/>
          <w:lang w:eastAsia="en-US"/>
        </w:rPr>
      </w:pPr>
      <w:r>
        <w:rPr>
          <w:b/>
          <w:sz w:val="24"/>
          <w:szCs w:val="24"/>
          <w:lang w:eastAsia="en-US"/>
        </w:rPr>
        <w:t>Акционерное общество «Дальневосточная генерирующая компания» (АО «ДГК»)</w:t>
      </w:r>
      <w:r>
        <w:rPr>
          <w:sz w:val="24"/>
          <w:szCs w:val="24"/>
          <w:lang w:eastAsia="en-US"/>
        </w:rPr>
        <w:t xml:space="preserve"> (далее – «Заказчик»), в лице директора структурного подразделения «Амурские тепловые сети» </w:t>
      </w:r>
      <w:r>
        <w:rPr>
          <w:sz w:val="24"/>
          <w:szCs w:val="24"/>
        </w:rPr>
        <w:t>________________________________________,действующего на основании _______________,</w:t>
      </w:r>
      <w:r>
        <w:rPr>
          <w:sz w:val="24"/>
          <w:szCs w:val="24"/>
          <w:lang w:eastAsia="en-US"/>
        </w:rPr>
        <w:t xml:space="preserve">с одной стороны, и </w:t>
      </w:r>
      <w:r>
        <w:rPr>
          <w:b/>
          <w:sz w:val="24"/>
          <w:szCs w:val="24"/>
          <w:lang w:eastAsia="en-US"/>
        </w:rPr>
        <w:t xml:space="preserve">                                                                 </w:t>
      </w:r>
      <w:r>
        <w:rPr>
          <w:sz w:val="24"/>
          <w:szCs w:val="24"/>
          <w:lang w:eastAsia="en-US"/>
        </w:rPr>
        <w:t xml:space="preserve"> (далее – «Подрядчик»), в лице </w:t>
      </w:r>
      <w:r>
        <w:rPr>
          <w:sz w:val="24"/>
          <w:szCs w:val="24"/>
          <w:u w:val="single"/>
          <w:lang w:eastAsia="en-US"/>
        </w:rPr>
        <w:t xml:space="preserve"> </w:t>
      </w:r>
      <w:r>
        <w:rPr>
          <w:sz w:val="24"/>
          <w:szCs w:val="24"/>
          <w:lang w:eastAsia="en-US"/>
        </w:rPr>
        <w:t>_________________________, действующего на основании  ___________________,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______________</w:t>
      </w:r>
      <w:r>
        <w:rPr>
          <w:bCs/>
          <w:sz w:val="24"/>
          <w:szCs w:val="24"/>
          <w:lang w:eastAsia="en-US"/>
        </w:rPr>
        <w:t>,</w:t>
      </w:r>
      <w:r>
        <w:rPr>
          <w:color w:val="0000FF"/>
          <w:sz w:val="24"/>
          <w:szCs w:val="24"/>
          <w:lang w:eastAsia="en-US"/>
        </w:rPr>
        <w:t xml:space="preserve"> </w:t>
      </w:r>
      <w:r>
        <w:rPr>
          <w:sz w:val="24"/>
          <w:szCs w:val="24"/>
          <w:lang w:eastAsia="en-US"/>
        </w:rPr>
        <w:t>и</w:t>
      </w:r>
      <w:r>
        <w:rPr>
          <w:color w:val="0000FF"/>
          <w:sz w:val="24"/>
          <w:szCs w:val="24"/>
          <w:lang w:eastAsia="en-US"/>
        </w:rPr>
        <w:t xml:space="preserve"> </w:t>
      </w:r>
      <w:r>
        <w:rPr>
          <w:bCs/>
          <w:sz w:val="24"/>
          <w:szCs w:val="24"/>
          <w:lang w:eastAsia="en-US"/>
        </w:rPr>
        <w:t xml:space="preserve">на основании Протокола о результатах подведения, итогов закупки № ____ от «___» _____ 20__ года, </w:t>
      </w:r>
      <w:r>
        <w:rPr>
          <w:sz w:val="24"/>
          <w:szCs w:val="24"/>
          <w:lang w:eastAsia="en-US"/>
        </w:rPr>
        <w:t>заключили настоящий договор (далее – «Договор») о нижеследующем:</w:t>
      </w:r>
    </w:p>
    <w:p>
      <w:pPr>
        <w:pStyle w:val="ListParagraph"/>
        <w:tabs>
          <w:tab w:val="clear" w:pos="708"/>
          <w:tab w:val="left" w:pos="284" w:leader="none"/>
        </w:tabs>
        <w:ind w:hanging="0" w:left="0"/>
        <w:rPr>
          <w:b/>
          <w:bCs/>
        </w:rPr>
      </w:pPr>
      <w:r>
        <w:rPr>
          <w:b/>
          <w:bCs/>
        </w:rPr>
      </w:r>
    </w:p>
    <w:p>
      <w:pPr>
        <w:pStyle w:val="ListParagraph"/>
        <w:tabs>
          <w:tab w:val="clear" w:pos="708"/>
          <w:tab w:val="left" w:pos="284" w:leader="none"/>
        </w:tabs>
        <w:ind w:hanging="0" w:left="0"/>
        <w:jc w:val="center"/>
        <w:rPr>
          <w:b/>
          <w:bCs/>
        </w:rPr>
      </w:pPr>
      <w:r>
        <w:rPr>
          <w:b/>
          <w:bCs/>
        </w:rPr>
        <w:t>Термины и определения</w:t>
      </w:r>
    </w:p>
    <w:p>
      <w:pPr>
        <w:pStyle w:val="ListParagraph"/>
        <w:tabs>
          <w:tab w:val="clear" w:pos="708"/>
          <w:tab w:val="left" w:pos="284" w:leader="none"/>
        </w:tabs>
        <w:ind w:hanging="0" w:left="0"/>
        <w:jc w:val="center"/>
        <w:rPr>
          <w:b/>
          <w:bCs/>
        </w:rPr>
      </w:pPr>
      <w:r>
        <w:rPr>
          <w:b/>
          <w:bCs/>
        </w:rPr>
      </w:r>
    </w:p>
    <w:p>
      <w:pPr>
        <w:pStyle w:val="BodyText3"/>
        <w:ind w:firstLine="708"/>
        <w:rPr>
          <w:color w:val="auto"/>
        </w:rPr>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widowControl w:val="false"/>
        <w:ind w:firstLine="708" w:left="0"/>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утвержденные подрядчиком.</w:t>
      </w:r>
    </w:p>
    <w:p>
      <w:pPr>
        <w:pStyle w:val="ListParagraph"/>
        <w:widowControl w:val="false"/>
        <w:ind w:firstLine="708" w:left="0"/>
        <w:jc w:val="both"/>
        <w:rPr>
          <w:lang w:eastAsia="en-US"/>
        </w:rPr>
      </w:pPr>
      <w:r>
        <w:rPr>
          <w:b/>
          <w:lang w:eastAsia="en-US"/>
        </w:rPr>
        <w:t>«Акт КС-11»</w:t>
      </w:r>
      <w:r>
        <w:rPr>
          <w:lang w:eastAsia="en-US"/>
        </w:rPr>
        <w:t>– документ, оформляемый по унифицированным формам №№ КС-11 «Акт приемки законченного строительством объекта»</w:t>
      </w:r>
      <w:r>
        <w:rPr/>
        <w:t>, утвержденный Учетной политикой АО «ДГК»</w:t>
      </w:r>
      <w:r>
        <w:rPr>
          <w:lang w:eastAsia="en-US"/>
        </w:rPr>
        <w:t>, подписываемые Сторонами по окончании всех Работ по Объекту, предусмотренных Договором.</w:t>
      </w:r>
    </w:p>
    <w:p>
      <w:pPr>
        <w:pStyle w:val="ListParagraph"/>
        <w:ind w:firstLine="708" w:left="0"/>
        <w:jc w:val="both"/>
        <w:rPr>
          <w:lang w:eastAsia="en-US"/>
        </w:rPr>
      </w:pPr>
      <w:r>
        <w:rPr>
          <w:b/>
          <w:lang w:eastAsia="en-US"/>
        </w:rPr>
        <w:t xml:space="preserve"> </w:t>
      </w:r>
      <w:r>
        <w:rPr>
          <w:b/>
          <w:lang w:eastAsia="en-US"/>
        </w:rPr>
        <w:t>«Акт освидетельствования выполненных работ»</w:t>
      </w:r>
      <w:r>
        <w:rPr>
          <w:lang w:eastAsia="en-US"/>
        </w:rPr>
        <w:t xml:space="preserve"> – документ, оформляемый по форме, установленной Договором, подписываемый Сторонами по завершении работ по завершению выполнения промежуточных (ежемесячных) объемов Работ, предусмотренных Договором. </w:t>
      </w:r>
    </w:p>
    <w:p>
      <w:pPr>
        <w:pStyle w:val="ListParagraph"/>
        <w:ind w:firstLine="708" w:left="0"/>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ind w:firstLine="708" w:left="0"/>
        <w:jc w:val="both"/>
        <w:rPr>
          <w:lang w:eastAsia="en-US"/>
        </w:rPr>
      </w:pPr>
      <w:r>
        <w:rPr>
          <w:b/>
          <w:lang w:eastAsia="en-US"/>
        </w:rPr>
        <w:t xml:space="preserve">«Промежуточный объем работ» - </w:t>
      </w:r>
      <w:r>
        <w:rPr>
          <w:lang w:eastAsia="en-US"/>
        </w:rPr>
        <w:t>объем работ, выполненных по Договору подряда за отчетный период и принятый Актом освидетельствования работ.</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 xml:space="preserve"> </w:t>
      </w:r>
      <w:r>
        <w:rPr>
          <w:b/>
          <w:lang w:eastAsia="en-US"/>
        </w:rPr>
        <w:t>«Гарантийный срок»</w:t>
      </w:r>
      <w:r>
        <w:rPr/>
        <w:t xml:space="preserve"> </w:t>
      </w:r>
      <w:r>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tabs>
          <w:tab w:val="clear" w:pos="708"/>
          <w:tab w:val="left" w:pos="567" w:leader="none"/>
          <w:tab w:val="left" w:pos="1134" w:leader="none"/>
        </w:tabs>
        <w:ind w:firstLine="708" w:left="0"/>
        <w:jc w:val="both"/>
        <w:rPr>
          <w:lang w:eastAsia="en-US"/>
        </w:rPr>
      </w:pPr>
      <w:r>
        <w:rPr>
          <w:lang w:eastAsia="en-US"/>
        </w:rPr>
        <w:t>К исполнительной документации относятся:</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Акты приемки геодезической разбивочной основы;</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Исполнительные геодезические схемы возведенных конструкций, элементов и частей зданий, сооружений;</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Исполнительные схемы и профили инженерных сетей и подземных сооружений;</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Общий журнал работ</w:t>
      </w:r>
      <w:r>
        <w:rPr>
          <w:lang w:val="en-US" w:eastAsia="en-US"/>
        </w:rPr>
        <w:t>;</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Журнал авторского надзора проектных организаций (при наличии авторского надзора);</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Акты освидетельствования скрытых работ</w:t>
      </w:r>
      <w:r>
        <w:rPr>
          <w:lang w:val="en-US" w:eastAsia="en-US"/>
        </w:rPr>
        <w:t>;</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Акты промежуточной приемки ответственных конструкций;</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Акты испытаний и опробования оборудования, систем и устройств;</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Результаты экспертиз, обследований в ходе выполнения работ;</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Акты приемки инженерных систем</w:t>
      </w:r>
      <w:r>
        <w:rPr>
          <w:lang w:val="en-US" w:eastAsia="en-US"/>
        </w:rPr>
        <w:t>;</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Исполнительные схемы расположения зданий, сооружений на местности (посадки);</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pPr>
        <w:pStyle w:val="ListParagraph"/>
        <w:widowControl w:val="false"/>
        <w:numPr>
          <w:ilvl w:val="0"/>
          <w:numId w:val="6"/>
        </w:numPr>
        <w:tabs>
          <w:tab w:val="clear" w:pos="708"/>
          <w:tab w:val="left" w:pos="567" w:leader="none"/>
          <w:tab w:val="left" w:pos="1134" w:leader="none"/>
        </w:tabs>
        <w:ind w:firstLine="709" w:left="0"/>
        <w:jc w:val="both"/>
        <w:rPr>
          <w:lang w:eastAsia="en-US"/>
        </w:rPr>
      </w:pPr>
      <w:r>
        <w:rPr>
          <w:lang w:eastAsia="en-US"/>
        </w:rPr>
        <w:t>другие документы по усмотрению Сторон с учетом специфики Работ.</w:t>
      </w:r>
    </w:p>
    <w:p>
      <w:pPr>
        <w:pStyle w:val="ListParagraph"/>
        <w:widowControl w:val="false"/>
        <w:tabs>
          <w:tab w:val="clear" w:pos="708"/>
          <w:tab w:val="left" w:pos="567" w:leader="none"/>
          <w:tab w:val="left" w:pos="1134" w:leader="none"/>
        </w:tabs>
        <w:ind w:firstLine="709" w:left="0"/>
        <w:jc w:val="both"/>
        <w:rPr>
          <w:lang w:eastAsia="en-US"/>
        </w:rPr>
      </w:pPr>
      <w:r>
        <w:rPr>
          <w:lang w:eastAsia="en-US"/>
        </w:rPr>
        <w:t>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Normal"/>
        <w:spacing w:lineRule="auto" w:line="276"/>
        <w:ind w:firstLine="709"/>
        <w:rPr>
          <w:sz w:val="24"/>
        </w:rPr>
      </w:pPr>
      <w:r>
        <w:rPr>
          <w:b/>
          <w:sz w:val="24"/>
        </w:rPr>
        <w:t xml:space="preserve">«Независимая гарантия» - </w:t>
      </w:r>
      <w:r>
        <w:rPr>
          <w:sz w:val="24"/>
        </w:rPr>
        <w:t>гарантия, предоставляемая субъектом МСП в обеспечение надлежащего исполнения Договоров, заключенных по результатам конкурентной закупки товаров, работ, услуг в электронной форме только среди МСП.</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«Обеспечительный платеж»</w:t>
      </w:r>
      <w:r>
        <w:rPr>
          <w:lang w:eastAsia="en-US"/>
        </w:rPr>
        <w:t xml:space="preserve"> – платеж в размере 5 % (десять процентов) от Цены Договора или стоимости Работ по соответствующему Объекту, который удерживается Заказчиком в качестве гарантийного резервирования в случае непредставления Подрядчиком Независимой гарантии надлежащего исполнения Договора в соответствии с требованиями, установленными Договором. </w:t>
      </w:r>
    </w:p>
    <w:p>
      <w:pPr>
        <w:pStyle w:val="ListParagraph"/>
        <w:widowControl w:val="false"/>
        <w:tabs>
          <w:tab w:val="clear" w:pos="708"/>
          <w:tab w:val="left" w:pos="567" w:leader="none"/>
          <w:tab w:val="left" w:pos="1134" w:leader="none"/>
        </w:tabs>
        <w:spacing w:lineRule="atLeast" w:line="21"/>
        <w:ind w:firstLine="708" w:left="0"/>
        <w:jc w:val="both"/>
        <w:rPr>
          <w:highlight w:val="none"/>
          <w:lang w:eastAsia="en-US"/>
        </w:rPr>
      </w:pPr>
      <w:r>
        <w:rPr>
          <w:b/>
          <w:lang w:eastAsia="en-US"/>
        </w:rPr>
        <w:t>«Объект»</w:t>
      </w:r>
      <w:r>
        <w:rPr>
          <w:lang w:eastAsia="en-US"/>
        </w:rPr>
        <w:t xml:space="preserve"> – объект основных средств Заказчика, в отношении которого целесообразна/ необходима самостоятельная приемка, опробование и эксплуатация. </w:t>
      </w:r>
    </w:p>
    <w:p>
      <w:pPr>
        <w:pStyle w:val="ListParagraph"/>
        <w:widowControl w:val="false"/>
        <w:tabs>
          <w:tab w:val="clear" w:pos="708"/>
          <w:tab w:val="left" w:pos="567" w:leader="none"/>
          <w:tab w:val="left" w:pos="1134" w:leader="none"/>
        </w:tabs>
        <w:spacing w:lineRule="atLeast" w:line="21"/>
        <w:ind w:firstLine="708" w:left="0"/>
        <w:jc w:val="both"/>
        <w:rPr>
          <w:highlight w:val="none"/>
          <w:lang w:eastAsia="en-US"/>
        </w:rPr>
      </w:pPr>
      <w:r>
        <w:rPr>
          <w:sz w:val="24"/>
          <w:szCs w:val="24"/>
          <w:lang w:eastAsia="en-US"/>
        </w:rPr>
        <w:t>Тепловые сети (7 сетевой район литер А) и</w:t>
      </w:r>
      <w:r>
        <w:rPr>
          <w:b w:val="false"/>
          <w:i w:val="false"/>
          <w:caps w:val="false"/>
          <w:smallCaps w:val="false"/>
          <w:color w:val="212121"/>
          <w:spacing w:val="0"/>
          <w:sz w:val="24"/>
          <w:szCs w:val="24"/>
          <w:lang w:eastAsia="en-US"/>
        </w:rPr>
        <w:t xml:space="preserve">нв.  №00000000000000047134 (от </w:t>
      </w:r>
      <w:r>
        <w:rPr>
          <w:b w:val="false"/>
          <w:bCs/>
          <w:i w:val="false"/>
          <w:caps w:val="false"/>
          <w:smallCaps w:val="false"/>
          <w:color w:val="212121"/>
          <w:spacing w:val="0"/>
          <w:sz w:val="24"/>
          <w:szCs w:val="24"/>
          <w:lang w:eastAsia="en-US"/>
        </w:rPr>
        <w:t>ТК124г до ТК91/1б</w:t>
      </w:r>
      <w:r>
        <w:rPr>
          <w:b w:val="false"/>
          <w:i w:val="false"/>
          <w:caps w:val="false"/>
          <w:smallCaps w:val="false"/>
          <w:color w:val="212121"/>
          <w:spacing w:val="0"/>
          <w:sz w:val="24"/>
          <w:szCs w:val="24"/>
          <w:lang w:eastAsia="en-US"/>
        </w:rPr>
        <w:t>).</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tabs>
          <w:tab w:val="clear" w:pos="708"/>
          <w:tab w:val="left" w:pos="567" w:leader="none"/>
          <w:tab w:val="left" w:pos="1134" w:leader="none"/>
        </w:tabs>
        <w:ind w:firstLine="708" w:left="0"/>
        <w:jc w:val="both"/>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tabs>
          <w:tab w:val="clear" w:pos="708"/>
          <w:tab w:val="left" w:pos="567" w:leader="none"/>
          <w:tab w:val="left" w:pos="1134" w:leader="none"/>
        </w:tabs>
        <w:ind w:firstLine="708" w:left="0"/>
        <w:jc w:val="both"/>
        <w:rPr>
          <w:lang w:eastAsia="en-US"/>
        </w:rPr>
      </w:pPr>
      <w:r>
        <w:rPr>
          <w:lang w:eastAsia="en-US"/>
        </w:rPr>
        <w:t>К приемо-сдаточной документации относятся:</w:t>
      </w:r>
    </w:p>
    <w:p>
      <w:pPr>
        <w:pStyle w:val="ListParagraph"/>
        <w:widowControl w:val="false"/>
        <w:numPr>
          <w:ilvl w:val="0"/>
          <w:numId w:val="7"/>
        </w:numPr>
        <w:tabs>
          <w:tab w:val="clear" w:pos="708"/>
          <w:tab w:val="left" w:pos="567" w:leader="none"/>
          <w:tab w:val="left" w:pos="1134" w:leader="none"/>
        </w:tabs>
        <w:ind w:firstLine="709" w:left="0"/>
        <w:jc w:val="both"/>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7"/>
        </w:numPr>
        <w:tabs>
          <w:tab w:val="clear" w:pos="708"/>
          <w:tab w:val="left" w:pos="567" w:leader="none"/>
          <w:tab w:val="left" w:pos="1134" w:leader="none"/>
        </w:tabs>
        <w:ind w:firstLine="709" w:left="0"/>
        <w:jc w:val="both"/>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7"/>
        </w:numPr>
        <w:tabs>
          <w:tab w:val="clear" w:pos="708"/>
          <w:tab w:val="left" w:pos="567" w:leader="none"/>
          <w:tab w:val="left" w:pos="1134" w:leader="none"/>
        </w:tabs>
        <w:ind w:firstLine="709" w:left="0"/>
        <w:jc w:val="both"/>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tabs>
          <w:tab w:val="clear" w:pos="708"/>
          <w:tab w:val="left" w:pos="567" w:leader="none"/>
          <w:tab w:val="left" w:pos="1134" w:leader="none"/>
        </w:tabs>
        <w:ind w:firstLine="720" w:left="0"/>
        <w:jc w:val="both"/>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spacing w:before="0" w:after="0"/>
        <w:ind w:firstLine="708"/>
        <w:jc w:val="both"/>
        <w:rPr>
          <w:sz w:val="24"/>
          <w:szCs w:val="24"/>
        </w:rPr>
      </w:pPr>
      <w:r>
        <w:rPr>
          <w:sz w:val="24"/>
          <w:szCs w:val="24"/>
          <w:lang w:eastAsia="en-US"/>
        </w:rPr>
        <w:t>«Работы»</w:t>
      </w:r>
      <w:r>
        <w:rPr>
          <w:b w:val="false"/>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Материалов Заказчика в соответствии с условиями Договора,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Pr>
          <w:sz w:val="24"/>
          <w:szCs w:val="24"/>
        </w:rPr>
        <w:t xml:space="preserve"> </w:t>
      </w:r>
      <w:r>
        <w:rPr>
          <w:b w:val="false"/>
          <w:sz w:val="24"/>
          <w:szCs w:val="24"/>
        </w:rPr>
        <w:t>выявленных</w:t>
      </w:r>
      <w:r>
        <w:rPr>
          <w:sz w:val="24"/>
          <w:szCs w:val="24"/>
        </w:rPr>
        <w:t xml:space="preserve"> </w:t>
      </w:r>
      <w:r>
        <w:rPr>
          <w:b w:val="false"/>
          <w:sz w:val="24"/>
          <w:szCs w:val="24"/>
        </w:rPr>
        <w:t>недостатков, несоответствий и / или дефектов в Результате работ, а также любые иные работы (в том числе приобретение Материально-технических ресурсов и оборудования), необходимые для выполнения Подрядчиком своих обязательств по Договору, независимо от их прямого указания в Договоре.</w:t>
      </w:r>
      <w:r>
        <w:rPr>
          <w:sz w:val="24"/>
          <w:szCs w:val="24"/>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Heading3"/>
        <w:keepNext w:val="false"/>
        <w:widowControl w:val="false"/>
        <w:tabs>
          <w:tab w:val="clear" w:pos="708"/>
          <w:tab w:val="left" w:pos="567" w:leader="none"/>
        </w:tabs>
        <w:spacing w:before="0" w:after="0"/>
        <w:ind w:firstLine="709" w:left="0" w:right="0"/>
        <w:jc w:val="both"/>
        <w:rPr>
          <w:b w:val="false"/>
          <w:sz w:val="22"/>
          <w:szCs w:val="24"/>
          <w:lang w:eastAsia="en-US"/>
        </w:rPr>
      </w:pPr>
      <w:r>
        <w:rPr>
          <w:bCs/>
          <w:sz w:val="24"/>
          <w:lang w:eastAsia="ar-SA"/>
        </w:rPr>
        <w:t>«Проектная документация»</w:t>
      </w:r>
      <w:r>
        <w:rPr>
          <w:b w:val="false"/>
          <w:bCs/>
          <w:sz w:val="24"/>
          <w:lang w:eastAsia="ar-SA"/>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технического перевооружения объектов, их частей. Состав разделов Проектной документации определяется Применимым правом. 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задания Заказчика.</w:t>
      </w:r>
    </w:p>
    <w:p>
      <w:pPr>
        <w:pStyle w:val="Normal"/>
        <w:widowControl w:val="false"/>
        <w:tabs>
          <w:tab w:val="clear" w:pos="708"/>
          <w:tab w:val="left" w:pos="567" w:leader="none"/>
        </w:tabs>
        <w:spacing w:lineRule="auto" w:line="240"/>
        <w:ind w:firstLine="708"/>
        <w:rPr>
          <w:sz w:val="24"/>
          <w:szCs w:val="24"/>
          <w:highlight w:val="none"/>
        </w:rPr>
      </w:pPr>
      <w:r>
        <w:rPr>
          <w:b/>
          <w:sz w:val="24"/>
          <w:szCs w:val="24"/>
          <w:lang w:eastAsia="en-US"/>
        </w:rPr>
        <w:t xml:space="preserve">«Рабочая документация» – </w:t>
      </w:r>
      <w:r>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7"/>
        </w:numPr>
        <w:tabs>
          <w:tab w:val="clear" w:pos="708"/>
          <w:tab w:val="left" w:pos="567" w:leader="none"/>
          <w:tab w:val="left" w:pos="1134" w:leader="none"/>
        </w:tabs>
        <w:ind w:firstLine="709" w:left="0"/>
        <w:jc w:val="both"/>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7"/>
        </w:numPr>
        <w:tabs>
          <w:tab w:val="clear" w:pos="708"/>
          <w:tab w:val="left" w:pos="567" w:leader="none"/>
          <w:tab w:val="left" w:pos="1134" w:leader="none"/>
        </w:tabs>
        <w:ind w:firstLine="709" w:left="0"/>
        <w:jc w:val="both"/>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7"/>
        </w:numPr>
        <w:tabs>
          <w:tab w:val="clear" w:pos="708"/>
          <w:tab w:val="left" w:pos="567" w:leader="none"/>
          <w:tab w:val="left" w:pos="1134" w:leader="none"/>
        </w:tabs>
        <w:ind w:firstLine="709" w:left="0"/>
        <w:jc w:val="both"/>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 xml:space="preserve"> </w:t>
      </w:r>
      <w:r>
        <w:rPr>
          <w:sz w:val="24"/>
          <w:szCs w:val="24"/>
          <w:lang w:eastAsia="en-US"/>
        </w:rPr>
        <w:t>«Результат работ»</w:t>
      </w:r>
      <w:r>
        <w:rPr>
          <w:b w:val="false"/>
          <w:sz w:val="24"/>
          <w:szCs w:val="24"/>
          <w:lang w:eastAsia="en-US"/>
        </w:rPr>
        <w:t xml:space="preserve"> – готовый к эксплуатации Объект, принятый Заказчиком в Гарантийную эксплуатацию по Акту КС-11, соответствующий требованиям, изложенным в Договоре.</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«Скрытые работы»</w:t>
      </w:r>
      <w:r>
        <w:rPr>
          <w:b w:val="false"/>
          <w:sz w:val="24"/>
          <w:szCs w:val="24"/>
          <w:lang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при сдаче Подрядчиком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b w:val="false"/>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eastAsia="en-US"/>
        </w:rPr>
      </w:pPr>
      <w:r>
        <w:rPr>
          <w:b/>
          <w:sz w:val="24"/>
          <w:szCs w:val="24"/>
          <w:lang w:eastAsia="en-US"/>
        </w:rPr>
        <w:t>«СМП»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 xml:space="preserve"> </w:t>
      </w:r>
      <w:r>
        <w:rPr>
          <w:sz w:val="24"/>
          <w:szCs w:val="24"/>
          <w:lang w:eastAsia="en-US"/>
        </w:rPr>
        <w:t>«Субподрядчик»</w:t>
      </w:r>
      <w:r>
        <w:rPr>
          <w:b w:val="false"/>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Normal"/>
        <w:widowControl w:val="false"/>
        <w:numPr>
          <w:ilvl w:val="0"/>
          <w:numId w:val="0"/>
        </w:numPr>
        <w:tabs>
          <w:tab w:val="clear" w:pos="708"/>
          <w:tab w:val="left" w:pos="567" w:leader="none"/>
        </w:tabs>
        <w:spacing w:lineRule="auto" w:line="240"/>
        <w:ind w:firstLine="708" w:left="0"/>
        <w:outlineLvl w:val="2"/>
        <w:rPr>
          <w:sz w:val="24"/>
          <w:szCs w:val="24"/>
          <w:lang w:eastAsia="en-US"/>
        </w:rPr>
      </w:pPr>
      <w:r>
        <w:rPr>
          <w:b/>
          <w:sz w:val="24"/>
          <w:szCs w:val="24"/>
          <w:lang w:eastAsia="en-US"/>
        </w:rPr>
        <w:t xml:space="preserve">«Цена Договора предельная» – </w:t>
      </w:r>
      <w:r>
        <w:rPr>
          <w:sz w:val="24"/>
          <w:szCs w:val="24"/>
          <w:lang w:eastAsia="en-US"/>
        </w:rPr>
        <w:t>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 на весь период действия Договора. При этом оплата Работ производится по фактическим затратам Подрядчика, но не выше предельной (максимальной) цены Договора.</w:t>
      </w:r>
    </w:p>
    <w:p>
      <w:pPr>
        <w:pStyle w:val="Normal"/>
        <w:widowControl w:val="false"/>
        <w:numPr>
          <w:ilvl w:val="0"/>
          <w:numId w:val="0"/>
        </w:numPr>
        <w:tabs>
          <w:tab w:val="clear" w:pos="708"/>
          <w:tab w:val="left" w:pos="567" w:leader="none"/>
        </w:tabs>
        <w:spacing w:lineRule="auto" w:line="240"/>
        <w:ind w:firstLine="708" w:left="0"/>
        <w:outlineLvl w:val="2"/>
        <w:rPr>
          <w:sz w:val="24"/>
          <w:szCs w:val="24"/>
          <w:lang w:eastAsia="en-US"/>
        </w:rPr>
      </w:pPr>
      <w:r>
        <w:rPr>
          <w:b/>
          <w:sz w:val="24"/>
          <w:szCs w:val="24"/>
          <w:lang w:eastAsia="en-US"/>
        </w:rPr>
        <w:t>«Этап Работ»</w:t>
      </w:r>
      <w:r>
        <w:rPr>
          <w:sz w:val="24"/>
          <w:szCs w:val="24"/>
          <w:lang w:eastAsia="en-US"/>
        </w:rPr>
        <w:t xml:space="preserve"> – законченный объем Работ, предусмотренный Графиком производства и финансирования  работ, который обладает признаками завершенности. </w:t>
      </w:r>
    </w:p>
    <w:p>
      <w:pPr>
        <w:pStyle w:val="Normal"/>
        <w:widowControl w:val="false"/>
        <w:numPr>
          <w:ilvl w:val="0"/>
          <w:numId w:val="0"/>
        </w:numPr>
        <w:tabs>
          <w:tab w:val="clear" w:pos="708"/>
          <w:tab w:val="left" w:pos="567" w:leader="none"/>
        </w:tabs>
        <w:spacing w:lineRule="auto" w:line="240"/>
        <w:ind w:firstLine="708" w:left="0"/>
        <w:outlineLvl w:val="2"/>
        <w:rPr>
          <w:sz w:val="24"/>
          <w:szCs w:val="24"/>
          <w:lang w:eastAsia="en-US"/>
        </w:rPr>
      </w:pPr>
      <w:r>
        <w:rPr>
          <w:sz w:val="24"/>
          <w:szCs w:val="24"/>
          <w:lang w:eastAsia="en-US"/>
        </w:rPr>
        <w:t xml:space="preserve">  </w:t>
      </w:r>
      <w:r>
        <w:rPr>
          <w:sz w:val="24"/>
          <w:szCs w:val="24"/>
          <w:lang w:eastAsia="en-US"/>
        </w:rPr>
        <w:t xml:space="preserve">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  </w:t>
      </w:r>
    </w:p>
    <w:p>
      <w:pPr>
        <w:pStyle w:val="Normal"/>
        <w:spacing w:lineRule="auto" w:line="240"/>
        <w:rPr>
          <w:sz w:val="24"/>
          <w:szCs w:val="24"/>
        </w:rPr>
      </w:pPr>
      <w:r>
        <w:rPr>
          <w:sz w:val="24"/>
          <w:szCs w:val="24"/>
        </w:rPr>
      </w:r>
    </w:p>
    <w:p>
      <w:pPr>
        <w:pStyle w:val="ListParagraph"/>
        <w:numPr>
          <w:ilvl w:val="0"/>
          <w:numId w:val="3"/>
        </w:numPr>
        <w:tabs>
          <w:tab w:val="clear" w:pos="708"/>
          <w:tab w:val="left" w:pos="284" w:leader="none"/>
        </w:tabs>
        <w:ind w:hanging="0" w:left="0"/>
        <w:jc w:val="center"/>
        <w:rPr>
          <w:b/>
          <w:bCs/>
        </w:rPr>
      </w:pPr>
      <w:r>
        <w:rPr>
          <w:b/>
          <w:bCs/>
        </w:rPr>
        <w:t>Предмет Договора</w:t>
      </w:r>
    </w:p>
    <w:p>
      <w:pPr>
        <w:pStyle w:val="ListParagraph"/>
        <w:numPr>
          <w:ilvl w:val="1"/>
          <w:numId w:val="21"/>
        </w:numPr>
        <w:spacing w:lineRule="atLeast" w:line="21"/>
        <w:ind w:firstLine="568" w:left="0"/>
        <w:jc w:val="both"/>
        <w:rPr>
          <w:bCs/>
        </w:rPr>
      </w:pPr>
      <w:bookmarkStart w:id="4" w:name="_Ref361410951"/>
      <w:r>
        <w:rPr>
          <w:bCs/>
        </w:rPr>
        <w:t xml:space="preserve">Подрядчик обязуется в соответствии с Техническими требованиями (Приложение № 1 к Договору) выполнить </w:t>
      </w:r>
      <w:bookmarkEnd w:id="4"/>
      <w:r>
        <w:rPr>
          <w:bCs/>
        </w:rPr>
        <w:t>проектные и строительно-монтажные работы реконструкции квартальных тепловых сетей пгт. Прогресс</w:t>
      </w:r>
      <w:r>
        <w:rPr>
          <w:sz w:val="24"/>
          <w:szCs w:val="24"/>
        </w:rPr>
        <w:t xml:space="preserve">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3"/>
        </w:numPr>
        <w:ind w:firstLine="709" w:left="0"/>
        <w:jc w:val="both"/>
        <w:rPr>
          <w:bCs/>
        </w:rPr>
      </w:pPr>
      <w:r>
        <w:rPr>
          <w:bCs/>
        </w:rPr>
        <w:t xml:space="preserve">Объем и состав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Проектной документацией, требованиями Применимого права и указаниями Заказчика. </w:t>
      </w:r>
    </w:p>
    <w:p>
      <w:pPr>
        <w:pStyle w:val="ListParagraph"/>
        <w:numPr>
          <w:ilvl w:val="1"/>
          <w:numId w:val="3"/>
        </w:numPr>
        <w:ind w:firstLine="709" w:left="0"/>
        <w:jc w:val="both"/>
        <w:rPr>
          <w:bCs/>
        </w:rPr>
      </w:pPr>
      <w:r>
        <w:rPr>
          <w:bCs/>
        </w:rPr>
        <w:t>В состав Работ по Договору входят:</w:t>
      </w:r>
    </w:p>
    <w:p>
      <w:pPr>
        <w:pStyle w:val="Normal"/>
        <w:tabs>
          <w:tab w:val="clear" w:pos="708"/>
          <w:tab w:val="left" w:pos="709" w:leader="none"/>
        </w:tabs>
        <w:spacing w:lineRule="auto" w:line="240" w:before="0" w:after="0"/>
        <w:ind w:hanging="0" w:left="709"/>
        <w:contextualSpacing/>
        <w:rPr>
          <w:bCs/>
          <w:sz w:val="24"/>
          <w:szCs w:val="24"/>
        </w:rPr>
      </w:pPr>
      <w:r>
        <w:rPr>
          <w:bCs/>
          <w:sz w:val="24"/>
          <w:szCs w:val="24"/>
        </w:rPr>
        <w:t>1.3.1    Разработка проектной документации;</w:t>
      </w:r>
    </w:p>
    <w:p>
      <w:pPr>
        <w:pStyle w:val="ListParagraph"/>
        <w:numPr>
          <w:ilvl w:val="2"/>
          <w:numId w:val="23"/>
        </w:numPr>
        <w:tabs>
          <w:tab w:val="clear" w:pos="708"/>
          <w:tab w:val="left" w:pos="1134" w:leader="none"/>
        </w:tabs>
        <w:rPr>
          <w:bCs/>
        </w:rPr>
      </w:pPr>
      <w:r>
        <w:rPr>
          <w:bCs/>
        </w:rPr>
        <w:t>Строительно-монтажные работы.</w:t>
      </w:r>
    </w:p>
    <w:p>
      <w:pPr>
        <w:pStyle w:val="ListParagraph"/>
        <w:numPr>
          <w:ilvl w:val="1"/>
          <w:numId w:val="3"/>
        </w:numPr>
        <w:shd w:val="clear" w:color="auto" w:fill="FFFFFF"/>
        <w:tabs>
          <w:tab w:val="clear" w:pos="708"/>
          <w:tab w:val="left" w:pos="1134" w:leader="none"/>
        </w:tabs>
        <w:ind w:firstLine="709" w:left="0"/>
        <w:jc w:val="both"/>
        <w:rPr>
          <w:bCs/>
        </w:rPr>
      </w:pPr>
      <w:r>
        <w:rPr>
          <w:bCs/>
        </w:rPr>
        <w:t>Работы по Договору выполняются для нужд структурного подразделения Заказчика «Амурские тепловые сети».</w:t>
      </w:r>
    </w:p>
    <w:p>
      <w:pPr>
        <w:pStyle w:val="ListParagraph"/>
        <w:numPr>
          <w:ilvl w:val="1"/>
          <w:numId w:val="3"/>
        </w:numPr>
        <w:shd w:val="clear" w:color="auto" w:fill="FFFFFF"/>
        <w:tabs>
          <w:tab w:val="clear" w:pos="708"/>
          <w:tab w:val="left" w:pos="1134" w:leader="none"/>
        </w:tabs>
        <w:ind w:firstLine="709" w:left="0"/>
        <w:jc w:val="both"/>
        <w:rPr>
          <w:bCs/>
          <w:highlight w:val="white"/>
        </w:rPr>
      </w:pPr>
      <w:r>
        <w:rPr>
          <w:bCs/>
          <w:highlight w:val="white"/>
        </w:rPr>
        <w:t xml:space="preserve">Место выполнения </w:t>
      </w:r>
      <w:r>
        <w:rPr>
          <w:bCs/>
          <w:shd w:fill="auto" w:val="clear"/>
        </w:rPr>
        <w:t xml:space="preserve">Работ: Россия, </w:t>
      </w:r>
      <w:r>
        <w:rPr>
          <w:shd w:fill="auto" w:val="clear"/>
        </w:rPr>
        <w:t xml:space="preserve">Амурская область,  пгт. Прогресс, </w:t>
      </w:r>
      <w:r>
        <w:rPr>
          <w:color w:val="000000"/>
          <w:sz w:val="24"/>
          <w:shd w:fill="auto" w:val="clear"/>
        </w:rPr>
        <w:t>ул. Пролетарская, тепловая сеть</w:t>
      </w:r>
      <w:r>
        <w:rPr>
          <w:color w:val="000000"/>
          <w:sz w:val="24"/>
        </w:rPr>
        <w:t xml:space="preserve"> от ТК124г до ТК91/1б.</w:t>
      </w:r>
    </w:p>
    <w:p>
      <w:pPr>
        <w:pStyle w:val="ListParagraph"/>
        <w:numPr>
          <w:ilvl w:val="1"/>
          <w:numId w:val="3"/>
        </w:numPr>
        <w:shd w:val="clear" w:color="auto" w:fill="FFFFFF"/>
        <w:tabs>
          <w:tab w:val="clear" w:pos="708"/>
          <w:tab w:val="left" w:pos="1134" w:leader="none"/>
        </w:tabs>
        <w:ind w:firstLine="709" w:left="0"/>
        <w:jc w:val="both"/>
        <w:rPr>
          <w:bCs/>
          <w:highlight w:val="white"/>
        </w:rPr>
      </w:pPr>
      <w:bookmarkStart w:id="5" w:name="_Ref361320424"/>
      <w:r>
        <w:rPr>
          <w:bCs/>
          <w:highlight w:val="white"/>
        </w:rPr>
        <w:t>Работы выполняются Подрядчиком в следующие сроки:</w:t>
      </w:r>
      <w:bookmarkEnd w:id="5"/>
    </w:p>
    <w:p>
      <w:pPr>
        <w:pStyle w:val="ListParagraph"/>
        <w:numPr>
          <w:ilvl w:val="2"/>
          <w:numId w:val="3"/>
        </w:numPr>
        <w:shd w:val="clear" w:color="auto" w:fill="FFFFFF"/>
        <w:tabs>
          <w:tab w:val="clear" w:pos="708"/>
          <w:tab w:val="left" w:pos="1134" w:leader="none"/>
        </w:tabs>
        <w:ind w:hanging="0" w:left="709"/>
        <w:jc w:val="both"/>
        <w:rPr>
          <w:bCs/>
        </w:rPr>
      </w:pPr>
      <w:r>
        <w:rPr>
          <w:bCs/>
        </w:rPr>
        <w:t>начало выполнения Работ: с даты, следующей за датой заключения Договора;</w:t>
      </w:r>
    </w:p>
    <w:p>
      <w:pPr>
        <w:pStyle w:val="ListParagraph"/>
        <w:numPr>
          <w:ilvl w:val="2"/>
          <w:numId w:val="3"/>
        </w:numPr>
        <w:shd w:val="clear" w:color="auto" w:fill="FFFFFF"/>
        <w:tabs>
          <w:tab w:val="clear" w:pos="708"/>
          <w:tab w:val="left" w:pos="1134" w:leader="none"/>
        </w:tabs>
        <w:ind w:hanging="0" w:left="709"/>
        <w:jc w:val="both"/>
        <w:rPr>
          <w:bCs/>
          <w:highlight w:val="white"/>
        </w:rPr>
      </w:pPr>
      <w:r>
        <w:rPr>
          <w:bCs/>
        </w:rPr>
        <w:t>окончание выполнения Работ:</w:t>
      </w:r>
      <w:r>
        <w:rPr>
          <w:bCs/>
          <w:highlight w:val="white"/>
        </w:rPr>
        <w:t xml:space="preserve"> «30» сентября 2027 г.</w:t>
      </w:r>
    </w:p>
    <w:p>
      <w:pPr>
        <w:pStyle w:val="16"/>
        <w:numPr>
          <w:ilvl w:val="2"/>
          <w:numId w:val="3"/>
        </w:numPr>
        <w:tabs>
          <w:tab w:val="clear" w:pos="1418"/>
          <w:tab w:val="left" w:pos="0" w:leader="none"/>
        </w:tabs>
        <w:ind w:firstLine="709" w:left="0"/>
        <w:rPr/>
      </w:pPr>
      <w:r>
        <w:rPr/>
        <w:t xml:space="preserve">Выполнение Работ осуществляется поэтапно. Сроки выполнения отдельных Этапов Работ определяются Графиком производства и финансирования работ (Приложение № 2 к Договору) в рамках общих сроков. </w:t>
      </w:r>
    </w:p>
    <w:p>
      <w:pPr>
        <w:pStyle w:val="Normal"/>
        <w:widowControl w:val="false"/>
        <w:tabs>
          <w:tab w:val="clear" w:pos="708"/>
          <w:tab w:val="left" w:pos="284" w:leader="none"/>
        </w:tabs>
        <w:jc w:val="left"/>
        <w:rPr>
          <w:b/>
          <w:bCs/>
          <w:sz w:val="24"/>
          <w:szCs w:val="24"/>
        </w:rPr>
      </w:pPr>
      <w:r>
        <w:rPr>
          <w:b/>
          <w:bCs/>
          <w:sz w:val="24"/>
          <w:szCs w:val="24"/>
        </w:rPr>
      </w:r>
    </w:p>
    <w:p>
      <w:pPr>
        <w:pStyle w:val="ListParagraph"/>
        <w:widowControl w:val="false"/>
        <w:numPr>
          <w:ilvl w:val="0"/>
          <w:numId w:val="3"/>
        </w:numPr>
        <w:tabs>
          <w:tab w:val="clear" w:pos="708"/>
          <w:tab w:val="left" w:pos="284" w:leader="none"/>
        </w:tabs>
        <w:ind w:hanging="0" w:left="0"/>
        <w:jc w:val="center"/>
        <w:rPr>
          <w:b/>
          <w:bCs/>
        </w:rPr>
      </w:pPr>
      <w:r>
        <w:rPr>
          <w:b/>
          <w:bCs/>
        </w:rPr>
        <w:t xml:space="preserve">Права и обязанности Сторон </w:t>
      </w:r>
    </w:p>
    <w:p>
      <w:pPr>
        <w:pStyle w:val="Normal"/>
        <w:widowControl w:val="false"/>
        <w:tabs>
          <w:tab w:val="clear" w:pos="708"/>
          <w:tab w:val="left" w:pos="1134" w:leader="none"/>
        </w:tabs>
        <w:spacing w:lineRule="auto" w:line="240"/>
        <w:ind w:hanging="0" w:left="709"/>
        <w:rPr>
          <w:sz w:val="24"/>
          <w:szCs w:val="24"/>
          <w:u w:val="single"/>
        </w:rPr>
      </w:pPr>
      <w:r>
        <w:rPr>
          <w:bCs/>
          <w:sz w:val="24"/>
          <w:szCs w:val="24"/>
          <w:u w:val="single"/>
        </w:rPr>
        <w:t>2.1. Заказчик обязан:</w:t>
      </w:r>
    </w:p>
    <w:p>
      <w:pPr>
        <w:pStyle w:val="Normal"/>
        <w:spacing w:lineRule="auto" w:line="240"/>
        <w:rPr>
          <w:bCs/>
          <w:sz w:val="24"/>
          <w:szCs w:val="24"/>
        </w:rPr>
      </w:pPr>
      <w:r>
        <w:rPr>
          <w:bCs/>
          <w:sz w:val="24"/>
          <w:szCs w:val="24"/>
        </w:rPr>
        <w:t xml:space="preserve">   </w:t>
      </w:r>
      <w:r>
        <w:rPr>
          <w:bCs/>
          <w:sz w:val="24"/>
          <w:szCs w:val="24"/>
        </w:rPr>
        <w:t xml:space="preserve">2.1.1.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Normal"/>
        <w:widowControl w:val="false"/>
        <w:tabs>
          <w:tab w:val="clear" w:pos="708"/>
          <w:tab w:val="left" w:pos="1418" w:leader="none"/>
        </w:tabs>
        <w:spacing w:lineRule="auto" w:line="240"/>
        <w:ind w:hanging="0"/>
        <w:rPr>
          <w:sz w:val="24"/>
          <w:szCs w:val="24"/>
        </w:rPr>
      </w:pPr>
      <w:r>
        <w:rPr>
          <w:sz w:val="24"/>
          <w:szCs w:val="24"/>
        </w:rPr>
        <w:t xml:space="preserve">            </w:t>
      </w:r>
      <w:r>
        <w:rPr>
          <w:sz w:val="24"/>
          <w:szCs w:val="24"/>
        </w:rPr>
        <w:t xml:space="preserve">2.1.2. </w:t>
      </w:r>
      <w:bookmarkStart w:id="6" w:name="_Ref361401696"/>
      <w:bookmarkStart w:id="7" w:name="_Ref361320734"/>
      <w:bookmarkStart w:id="8" w:name="_Ref361396847"/>
      <w:r>
        <w:rPr>
          <w:bCs/>
          <w:sz w:val="24"/>
          <w:szCs w:val="24"/>
        </w:rPr>
        <w:t>В течение 3 (трех) рабочих дней с даты получения соответствующего письменного запроса Подрядчика, передать (предоставить) последнему:</w:t>
      </w:r>
      <w:bookmarkEnd w:id="6"/>
      <w:bookmarkEnd w:id="7"/>
      <w:bookmarkEnd w:id="8"/>
    </w:p>
    <w:p>
      <w:pPr>
        <w:pStyle w:val="ListParagraph"/>
        <w:numPr>
          <w:ilvl w:val="0"/>
          <w:numId w:val="8"/>
        </w:numPr>
        <w:tabs>
          <w:tab w:val="clear" w:pos="708"/>
          <w:tab w:val="left" w:pos="709" w:leader="none"/>
          <w:tab w:val="left" w:pos="1418" w:leader="none"/>
        </w:tabs>
        <w:ind w:firstLine="709" w:left="0"/>
        <w:jc w:val="both"/>
        <w:rPr/>
      </w:pPr>
      <w:r>
        <w:rPr/>
        <w:t xml:space="preserve">место производства Работ, место (помещение) для складирования </w:t>
      </w:r>
      <w:r>
        <w:rPr>
          <w:bCs/>
        </w:rPr>
        <w:t xml:space="preserve">Материально-технических ресурсов </w:t>
      </w:r>
      <w:r>
        <w:rPr/>
        <w:t xml:space="preserve">и оборудования, </w:t>
      </w:r>
      <w:r>
        <w:rPr>
          <w:bCs/>
        </w:rPr>
        <w:t>Материалов Заказчика</w:t>
      </w:r>
      <w:r>
        <w:rPr/>
        <w:t xml:space="preserve"> по соответствующим актам сдачи-приемки по форме Приложения № 4 к Договору;</w:t>
      </w:r>
    </w:p>
    <w:p>
      <w:pPr>
        <w:pStyle w:val="ListParagraph"/>
        <w:numPr>
          <w:ilvl w:val="0"/>
          <w:numId w:val="8"/>
        </w:numPr>
        <w:tabs>
          <w:tab w:val="clear" w:pos="708"/>
          <w:tab w:val="left" w:pos="709" w:leader="none"/>
          <w:tab w:val="left" w:pos="1418" w:leader="none"/>
        </w:tabs>
        <w:ind w:firstLine="709" w:left="0"/>
        <w:jc w:val="both"/>
        <w:rPr/>
      </w:pPr>
      <w:r>
        <w:rPr>
          <w:bCs/>
        </w:rPr>
        <w:t>техническую и иную документацию, содержащую исходные данные для выполнения Подрядчиком Работ по Договору, по Акту сдачи-приемки технической и иной документации по форме Приложения № 4.1 к Договору.</w:t>
      </w:r>
      <w:r>
        <w:rPr/>
        <w:t xml:space="preserve"> </w:t>
      </w:r>
    </w:p>
    <w:p>
      <w:pPr>
        <w:pStyle w:val="Normal"/>
        <w:widowControl w:val="false"/>
        <w:tabs>
          <w:tab w:val="clear" w:pos="708"/>
          <w:tab w:val="left" w:pos="1418" w:leader="none"/>
        </w:tabs>
        <w:spacing w:lineRule="auto" w:line="240"/>
        <w:ind w:hanging="0" w:left="709"/>
        <w:rPr>
          <w:sz w:val="24"/>
          <w:szCs w:val="24"/>
        </w:rPr>
      </w:pPr>
      <w:r>
        <w:rPr>
          <w:bCs/>
          <w:sz w:val="24"/>
          <w:szCs w:val="24"/>
        </w:rPr>
        <w:t>2.1.3.  При  наличии  технической  возможности  обеспечить Подрядчику возможность</w:t>
      </w:r>
    </w:p>
    <w:p>
      <w:pPr>
        <w:pStyle w:val="Normal"/>
        <w:widowControl w:val="false"/>
        <w:tabs>
          <w:tab w:val="clear" w:pos="708"/>
          <w:tab w:val="left" w:pos="1418" w:leader="none"/>
        </w:tabs>
        <w:spacing w:lineRule="auto" w:line="240"/>
        <w:ind w:hanging="0"/>
        <w:rPr>
          <w:sz w:val="24"/>
          <w:szCs w:val="24"/>
        </w:rPr>
      </w:pPr>
      <w:r>
        <w:rPr>
          <w:bCs/>
          <w:sz w:val="24"/>
          <w:szCs w:val="24"/>
        </w:rPr>
        <w:t>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Pr>
          <w:bCs/>
          <w:sz w:val="24"/>
          <w:szCs w:val="24"/>
        </w:rPr>
        <w:t>.</w:t>
      </w:r>
      <w:bookmarkEnd w:id="9"/>
      <w:r>
        <w:rPr>
          <w:bCs/>
          <w:sz w:val="24"/>
          <w:szCs w:val="24"/>
        </w:rPr>
        <w:t xml:space="preserve"> </w:t>
      </w:r>
    </w:p>
    <w:p>
      <w:pPr>
        <w:pStyle w:val="Normal"/>
        <w:widowControl w:val="false"/>
        <w:tabs>
          <w:tab w:val="clear" w:pos="708"/>
          <w:tab w:val="left" w:pos="1418" w:leader="none"/>
        </w:tabs>
        <w:spacing w:lineRule="auto" w:line="240"/>
        <w:ind w:hanging="0" w:left="709"/>
        <w:rPr>
          <w:sz w:val="24"/>
          <w:szCs w:val="24"/>
        </w:rPr>
      </w:pPr>
      <w:r>
        <w:rPr>
          <w:bCs/>
          <w:sz w:val="24"/>
          <w:szCs w:val="24"/>
        </w:rPr>
        <w:t xml:space="preserve">2.1.4.   Ознакомить   Подрядчика  с  локальными   нормативными   актами   Заказчика, </w:t>
      </w:r>
    </w:p>
    <w:p>
      <w:pPr>
        <w:pStyle w:val="Normal"/>
        <w:widowControl w:val="false"/>
        <w:tabs>
          <w:tab w:val="clear" w:pos="708"/>
          <w:tab w:val="left" w:pos="1418" w:leader="none"/>
        </w:tabs>
        <w:spacing w:lineRule="auto" w:line="240"/>
        <w:ind w:hanging="0"/>
        <w:rPr>
          <w:sz w:val="24"/>
          <w:szCs w:val="24"/>
        </w:rPr>
      </w:pPr>
      <w:r>
        <w:rPr>
          <w:bCs/>
          <w:sz w:val="24"/>
          <w:szCs w:val="24"/>
        </w:rPr>
        <w:t xml:space="preserve">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Normal"/>
        <w:widowControl w:val="false"/>
        <w:tabs>
          <w:tab w:val="clear" w:pos="708"/>
          <w:tab w:val="left" w:pos="709" w:leader="none"/>
        </w:tabs>
        <w:spacing w:lineRule="auto" w:line="240"/>
        <w:ind w:hanging="0" w:left="709"/>
        <w:rPr>
          <w:sz w:val="24"/>
          <w:szCs w:val="24"/>
        </w:rPr>
      </w:pPr>
      <w:r>
        <w:rPr>
          <w:bCs/>
          <w:sz w:val="24"/>
          <w:szCs w:val="24"/>
        </w:rPr>
        <w:t xml:space="preserve">2.1.5. Принять и оплатить выполненные Подрядчиком Работы на условиях, по цене и </w:t>
      </w:r>
    </w:p>
    <w:p>
      <w:pPr>
        <w:pStyle w:val="Normal"/>
        <w:widowControl w:val="false"/>
        <w:tabs>
          <w:tab w:val="clear" w:pos="708"/>
          <w:tab w:val="left" w:pos="709" w:leader="none"/>
        </w:tabs>
        <w:spacing w:lineRule="auto" w:line="240"/>
        <w:ind w:hanging="0"/>
        <w:rPr>
          <w:sz w:val="24"/>
          <w:szCs w:val="24"/>
        </w:rPr>
      </w:pPr>
      <w:r>
        <w:rPr>
          <w:bCs/>
          <w:sz w:val="24"/>
          <w:szCs w:val="24"/>
        </w:rPr>
        <w:t>в сроки, предусмотренные Договором.</w:t>
      </w:r>
    </w:p>
    <w:p>
      <w:pPr>
        <w:pStyle w:val="Normal"/>
        <w:widowControl w:val="false"/>
        <w:tabs>
          <w:tab w:val="clear" w:pos="708"/>
          <w:tab w:val="left" w:pos="709" w:leader="none"/>
        </w:tabs>
        <w:spacing w:lineRule="auto" w:line="240"/>
        <w:rPr>
          <w:bCs/>
          <w:sz w:val="24"/>
          <w:szCs w:val="24"/>
        </w:rPr>
      </w:pPr>
      <w:r>
        <w:rPr>
          <w:bCs/>
          <w:sz w:val="24"/>
          <w:szCs w:val="24"/>
        </w:rPr>
        <w:t xml:space="preserve">  </w:t>
      </w:r>
      <w:r>
        <w:rPr>
          <w:bCs/>
          <w:sz w:val="24"/>
          <w:szCs w:val="24"/>
        </w:rPr>
        <w:t>2.1.6. Производить освидетельствование (приемку) Скрытых работ.</w:t>
      </w:r>
    </w:p>
    <w:p>
      <w:pPr>
        <w:pStyle w:val="16"/>
        <w:numPr>
          <w:ilvl w:val="0"/>
          <w:numId w:val="0"/>
        </w:numPr>
        <w:tabs>
          <w:tab w:val="clear" w:pos="1418"/>
          <w:tab w:val="left" w:pos="0" w:leader="none"/>
        </w:tabs>
        <w:ind w:hanging="0" w:left="0"/>
        <w:rPr/>
      </w:pPr>
      <w:r>
        <w:rPr/>
        <w:t xml:space="preserve">           </w:t>
      </w:r>
      <w:r>
        <w:rPr/>
        <w:t>2.1.7. В течение 10 (десяти) рабочих дней с даты следующей за датой заключения договора, предоставить доступ Подрядчику для размещения Исполнительной документации (далее - ИД) в электронном виде на сетевом ресурсе Группы РусГидро (далее - сетевой ресурс), в соответствии с Приложением № 19 к Договору.</w:t>
      </w:r>
    </w:p>
    <w:p>
      <w:pPr>
        <w:pStyle w:val="Normal"/>
        <w:widowControl w:val="false"/>
        <w:tabs>
          <w:tab w:val="clear" w:pos="708"/>
          <w:tab w:val="left" w:pos="709" w:leader="none"/>
        </w:tabs>
        <w:spacing w:lineRule="auto" w:line="240"/>
        <w:ind w:hanging="0" w:left="709"/>
        <w:rPr>
          <w:bCs/>
          <w:sz w:val="24"/>
          <w:szCs w:val="24"/>
        </w:rPr>
      </w:pPr>
      <w:r>
        <w:rPr>
          <w:bCs/>
          <w:sz w:val="24"/>
          <w:szCs w:val="24"/>
        </w:rPr>
        <w:t>2.1.8. Выполнять иные обязанности, предусмотренные Договором.</w:t>
      </w:r>
    </w:p>
    <w:p>
      <w:pPr>
        <w:pStyle w:val="ListParagraph"/>
        <w:widowControl w:val="false"/>
        <w:numPr>
          <w:ilvl w:val="1"/>
          <w:numId w:val="3"/>
        </w:numPr>
        <w:tabs>
          <w:tab w:val="clear" w:pos="708"/>
          <w:tab w:val="left" w:pos="1134" w:leader="none"/>
        </w:tabs>
        <w:ind w:firstLine="709" w:left="0"/>
        <w:jc w:val="both"/>
        <w:rPr>
          <w:bCs/>
        </w:rPr>
      </w:pPr>
      <w:r>
        <w:rPr>
          <w:bCs/>
          <w:u w:val="single"/>
        </w:rPr>
        <w:t>Заказчик имеет право</w:t>
      </w:r>
      <w:r>
        <w:rPr>
          <w:bCs/>
        </w:rPr>
        <w:t>:</w:t>
      </w:r>
    </w:p>
    <w:p>
      <w:pPr>
        <w:pStyle w:val="ListParagraph"/>
        <w:widowControl w:val="false"/>
        <w:numPr>
          <w:ilvl w:val="2"/>
          <w:numId w:val="3"/>
        </w:numPr>
        <w:tabs>
          <w:tab w:val="clear" w:pos="708"/>
          <w:tab w:val="left" w:pos="1418" w:leader="none"/>
        </w:tabs>
        <w:ind w:firstLine="709" w:left="0"/>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widowControl w:val="false"/>
        <w:numPr>
          <w:ilvl w:val="2"/>
          <w:numId w:val="3"/>
        </w:numPr>
        <w:tabs>
          <w:tab w:val="clear" w:pos="708"/>
          <w:tab w:val="left" w:pos="1418" w:leader="none"/>
        </w:tabs>
        <w:ind w:firstLine="709" w:left="0"/>
        <w:jc w:val="both"/>
        <w:rPr>
          <w:bCs/>
        </w:rPr>
      </w:pPr>
      <w:r>
        <w:rPr>
          <w:bCs/>
        </w:rPr>
        <w:t xml:space="preserve">Круглосуточно осуществлять доступ к месту производства Работ. </w:t>
      </w:r>
    </w:p>
    <w:p>
      <w:pPr>
        <w:pStyle w:val="ListParagraph"/>
        <w:widowControl w:val="false"/>
        <w:numPr>
          <w:ilvl w:val="2"/>
          <w:numId w:val="3"/>
        </w:numPr>
        <w:tabs>
          <w:tab w:val="clear" w:pos="708"/>
          <w:tab w:val="left" w:pos="1418" w:leader="none"/>
        </w:tabs>
        <w:ind w:firstLine="709" w:left="0"/>
        <w:jc w:val="both"/>
        <w:rPr>
          <w:bCs/>
        </w:rPr>
      </w:pPr>
      <w:bookmarkStart w:id="10"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при обнаружении отступлений от условий Договора, в том числе нарушений сроков и / или качества выполнения Работ, требований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bCs/>
        </w:rPr>
        <w:t xml:space="preserve"> </w:t>
      </w:r>
    </w:p>
    <w:p>
      <w:pPr>
        <w:pStyle w:val="ListParagraph"/>
        <w:widowControl w:val="false"/>
        <w:numPr>
          <w:ilvl w:val="2"/>
          <w:numId w:val="3"/>
        </w:numPr>
        <w:tabs>
          <w:tab w:val="clear" w:pos="708"/>
          <w:tab w:val="left" w:pos="1418" w:leader="none"/>
        </w:tabs>
        <w:ind w:firstLine="709" w:left="0"/>
        <w:jc w:val="both"/>
        <w:rPr>
          <w:bCs/>
        </w:rPr>
      </w:pPr>
      <w:bookmarkStart w:id="11" w:name="_Ref361334468"/>
      <w:r>
        <w:rPr>
          <w:bCs/>
        </w:rPr>
        <w:t>Отстранить от работы, 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 после устранения нарушений.</w:t>
      </w:r>
      <w:bookmarkEnd w:id="11"/>
    </w:p>
    <w:p>
      <w:pPr>
        <w:pStyle w:val="ListParagraph"/>
        <w:widowControl w:val="false"/>
        <w:numPr>
          <w:ilvl w:val="2"/>
          <w:numId w:val="3"/>
        </w:numPr>
        <w:tabs>
          <w:tab w:val="clear" w:pos="708"/>
          <w:tab w:val="left" w:pos="1418" w:leader="none"/>
        </w:tabs>
        <w:ind w:firstLine="709" w:left="0"/>
        <w:jc w:val="both"/>
        <w:rPr>
          <w:bCs/>
        </w:rPr>
      </w:pPr>
      <w:bookmarkStart w:id="12" w:name="_Ref361319348"/>
      <w:r>
        <w:rPr>
          <w:bCs/>
        </w:rPr>
        <w:t>Вносить изменения в Технические требования (приложение №1 к Договору) и в Ведомость объемов работ, которая будет разработана на 1 этапе выполнения работ,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Pr>
          <w:bCs/>
        </w:rPr>
        <w:t xml:space="preserve"> При этом изменения в Ведомость объемов работ оформляются дополнительным соглашением к Договору.</w:t>
      </w:r>
    </w:p>
    <w:p>
      <w:pPr>
        <w:pStyle w:val="ListParagraph"/>
        <w:widowControl w:val="false"/>
        <w:numPr>
          <w:ilvl w:val="2"/>
          <w:numId w:val="3"/>
        </w:numPr>
        <w:tabs>
          <w:tab w:val="clear" w:pos="708"/>
          <w:tab w:val="left" w:pos="1418" w:leader="none"/>
        </w:tabs>
        <w:ind w:firstLine="709" w:left="0"/>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widowControl w:val="false"/>
        <w:numPr>
          <w:ilvl w:val="2"/>
          <w:numId w:val="3"/>
        </w:numPr>
        <w:tabs>
          <w:tab w:val="clear" w:pos="708"/>
          <w:tab w:val="left" w:pos="1418" w:leader="none"/>
        </w:tabs>
        <w:ind w:firstLine="709" w:left="0"/>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widowControl w:val="false"/>
        <w:numPr>
          <w:ilvl w:val="2"/>
          <w:numId w:val="3"/>
        </w:numPr>
        <w:tabs>
          <w:tab w:val="clear" w:pos="708"/>
          <w:tab w:val="left" w:pos="567" w:leader="none"/>
          <w:tab w:val="left" w:pos="1418" w:leader="none"/>
        </w:tabs>
        <w:ind w:firstLine="709" w:left="0"/>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widowControl w:val="false"/>
        <w:tabs>
          <w:tab w:val="clear" w:pos="708"/>
          <w:tab w:val="left" w:pos="567" w:leader="none"/>
          <w:tab w:val="left" w:pos="1418" w:leader="none"/>
        </w:tabs>
        <w:ind w:firstLine="709" w:left="0"/>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widowControl w:val="false"/>
        <w:numPr>
          <w:ilvl w:val="1"/>
          <w:numId w:val="3"/>
        </w:numPr>
        <w:tabs>
          <w:tab w:val="clear" w:pos="708"/>
          <w:tab w:val="left" w:pos="1134" w:leader="none"/>
        </w:tabs>
        <w:ind w:firstLine="567" w:left="0"/>
        <w:jc w:val="both"/>
        <w:rPr>
          <w:bCs/>
        </w:rPr>
      </w:pPr>
      <w:r>
        <w:rPr>
          <w:bCs/>
          <w:u w:val="single"/>
        </w:rPr>
        <w:t>Подрядчик обязан</w:t>
      </w:r>
      <w:r>
        <w:rPr>
          <w:bCs/>
        </w:rPr>
        <w:t>:</w:t>
      </w:r>
    </w:p>
    <w:p>
      <w:pPr>
        <w:pStyle w:val="ListParagraph"/>
        <w:widowControl w:val="false"/>
        <w:numPr>
          <w:ilvl w:val="2"/>
          <w:numId w:val="3"/>
        </w:numPr>
        <w:tabs>
          <w:tab w:val="clear" w:pos="708"/>
          <w:tab w:val="left" w:pos="1418" w:leader="none"/>
        </w:tabs>
        <w:ind w:firstLine="567" w:left="0"/>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widowControl w:val="false"/>
        <w:numPr>
          <w:ilvl w:val="2"/>
          <w:numId w:val="3"/>
        </w:numPr>
        <w:tabs>
          <w:tab w:val="clear" w:pos="708"/>
          <w:tab w:val="left" w:pos="1418" w:leader="none"/>
        </w:tabs>
        <w:ind w:firstLine="567" w:left="0"/>
        <w:jc w:val="both"/>
        <w:rPr>
          <w:bCs/>
        </w:rPr>
      </w:pPr>
      <w:r>
        <w:rPr>
          <w:bCs/>
        </w:rPr>
        <w:t>В срок, указанный в пункте</w:t>
      </w:r>
      <w:r>
        <w:rPr>
          <w:bCs/>
          <w:highlight w:val="white"/>
        </w:rPr>
        <w:t xml:space="preserve"> 2.1.2 </w:t>
      </w:r>
      <w:r>
        <w:rPr>
          <w:bCs/>
        </w:rPr>
        <w:t xml:space="preserve">Договора, принять от Заказчика на время выполнения Работ по Договору: </w:t>
      </w:r>
    </w:p>
    <w:p>
      <w:pPr>
        <w:pStyle w:val="ListParagraph"/>
        <w:widowControl w:val="false"/>
        <w:numPr>
          <w:ilvl w:val="0"/>
          <w:numId w:val="17"/>
        </w:numPr>
        <w:tabs>
          <w:tab w:val="clear" w:pos="708"/>
          <w:tab w:val="left" w:pos="1418" w:leader="none"/>
        </w:tabs>
        <w:ind w:firstLine="709" w:left="0"/>
        <w:jc w:val="both"/>
        <w:rPr>
          <w:bCs/>
        </w:rPr>
      </w:pPr>
      <w:r>
        <w:rPr>
          <w:bCs/>
        </w:rPr>
        <w:t>место производства Работ, место (помещение) для складирования Материально-технических ресурсов, оборудования и запасных частей по соответствующим актам сдачи-приемки по форме Приложения № 4 к Договору;</w:t>
      </w:r>
    </w:p>
    <w:p>
      <w:pPr>
        <w:pStyle w:val="ListParagraph"/>
        <w:widowControl w:val="false"/>
        <w:numPr>
          <w:ilvl w:val="0"/>
          <w:numId w:val="17"/>
        </w:numPr>
        <w:tabs>
          <w:tab w:val="clear" w:pos="708"/>
          <w:tab w:val="left" w:pos="1418" w:leader="none"/>
        </w:tabs>
        <w:ind w:firstLine="709" w:left="0"/>
        <w:jc w:val="both"/>
        <w:rPr/>
      </w:pPr>
      <w:r>
        <w:rPr>
          <w:bCs/>
        </w:rPr>
        <w:t xml:space="preserve">техническую и иную документацию, содержащую исходные данные для выполнения Подрядчиком Работ по Договору, по Акту сдачи-приемки технической и иной документации по форме Приложения № 4.1 к Договору. </w:t>
      </w:r>
    </w:p>
    <w:p>
      <w:pPr>
        <w:pStyle w:val="ListParagraph"/>
        <w:numPr>
          <w:ilvl w:val="2"/>
          <w:numId w:val="3"/>
        </w:numPr>
        <w:tabs>
          <w:tab w:val="clear" w:pos="708"/>
          <w:tab w:val="left" w:pos="1418" w:leader="none"/>
        </w:tabs>
        <w:ind w:firstLine="567" w:left="0"/>
        <w:jc w:val="both"/>
        <w:rPr>
          <w:bCs/>
        </w:rPr>
      </w:pPr>
      <w:r>
        <w:rPr>
          <w:bCs/>
        </w:rPr>
        <w:t xml:space="preserve">При приемке места производства Работ, места (помещения)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w:t>
      </w:r>
    </w:p>
    <w:p>
      <w:pPr>
        <w:pStyle w:val="ListParagraph"/>
        <w:tabs>
          <w:tab w:val="clear" w:pos="708"/>
          <w:tab w:val="left" w:pos="1418" w:leader="none"/>
        </w:tabs>
        <w:ind w:firstLine="567" w:left="0"/>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pPr>
        <w:pStyle w:val="ListParagraph"/>
        <w:widowControl w:val="false"/>
        <w:numPr>
          <w:ilvl w:val="2"/>
          <w:numId w:val="3"/>
        </w:numPr>
        <w:tabs>
          <w:tab w:val="clear" w:pos="708"/>
          <w:tab w:val="left" w:pos="1418" w:leader="none"/>
        </w:tabs>
        <w:ind w:firstLine="567" w:left="0"/>
        <w:jc w:val="both"/>
        <w:rPr>
          <w:bCs/>
        </w:rPr>
      </w:pPr>
      <w:r>
        <w:rPr>
          <w:bCs/>
        </w:rPr>
        <w:t>Выдать замечания в отношении технической документации, предоставленной Заказчиком, в течение 5 (пяти) рабочих дней с даты принятия её по Акту сдачи-приемки технической и иной документации по форме Приложения № 4.1 к Договору. Отсутствие таких замечаний в указанный срок свидетельствует о проверке Подрядчиком технической документации и лишает Подрядчика права ссылаться на недостатки данной документации в дальнейшем.</w:t>
      </w:r>
    </w:p>
    <w:p>
      <w:pPr>
        <w:pStyle w:val="ListParagraph"/>
        <w:widowControl w:val="false"/>
        <w:numPr>
          <w:ilvl w:val="2"/>
          <w:numId w:val="3"/>
        </w:numPr>
        <w:tabs>
          <w:tab w:val="clear" w:pos="708"/>
          <w:tab w:val="left" w:pos="1418" w:leader="none"/>
        </w:tabs>
        <w:ind w:firstLine="709" w:left="0"/>
        <w:jc w:val="both"/>
        <w:rPr>
          <w:bCs/>
        </w:rPr>
      </w:pPr>
      <w:r>
        <w:rPr>
          <w:bCs/>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w:t>
      </w:r>
      <w:r>
        <w:rPr>
          <w:bCs/>
          <w:highlight w:val="white"/>
        </w:rPr>
        <w:t xml:space="preserve"> 2.1.3 </w:t>
      </w:r>
      <w:r>
        <w:rPr>
          <w:bCs/>
        </w:rPr>
        <w:t>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При необходимости самостоятельно получить и провести все необходимые согласования технических условий на присоединение (исключительно для целей выполнения Работ) к действующим сетям электроснабжения, водоснабжения, канализации, связи и др. в определяемых точках подключения. Подключение к указанным сетям и коммуникациям Подрядчик осуществляет самостоятельно за свой счет.</w:t>
      </w:r>
    </w:p>
    <w:p>
      <w:pPr>
        <w:pStyle w:val="ListParagraph"/>
        <w:widowControl w:val="false"/>
        <w:numPr>
          <w:ilvl w:val="2"/>
          <w:numId w:val="3"/>
        </w:numPr>
        <w:tabs>
          <w:tab w:val="clear" w:pos="708"/>
          <w:tab w:val="left" w:pos="1418" w:leader="none"/>
        </w:tabs>
        <w:ind w:firstLine="709" w:left="0"/>
        <w:jc w:val="both"/>
        <w:rPr>
          <w:bCs/>
        </w:rPr>
      </w:pPr>
      <w:r>
        <w:rPr>
          <w:bCs/>
        </w:rPr>
        <w:t>До начала выполнения Работ предоставить Заказчику:</w:t>
      </w:r>
    </w:p>
    <w:p>
      <w:pPr>
        <w:pStyle w:val="ListParagraph"/>
        <w:widowControl w:val="false"/>
        <w:numPr>
          <w:ilvl w:val="0"/>
          <w:numId w:val="14"/>
        </w:numPr>
        <w:tabs>
          <w:tab w:val="clear" w:pos="708"/>
          <w:tab w:val="left" w:pos="1418" w:leader="none"/>
        </w:tabs>
        <w:ind w:firstLine="709" w:left="0"/>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widowControl w:val="false"/>
        <w:numPr>
          <w:ilvl w:val="0"/>
          <w:numId w:val="14"/>
        </w:numPr>
        <w:tabs>
          <w:tab w:val="clear" w:pos="708"/>
          <w:tab w:val="left" w:pos="709" w:leader="none"/>
        </w:tabs>
        <w:ind w:firstLine="709" w:left="0"/>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widowControl w:val="false"/>
        <w:numPr>
          <w:ilvl w:val="0"/>
          <w:numId w:val="14"/>
        </w:numPr>
        <w:tabs>
          <w:tab w:val="clear" w:pos="708"/>
          <w:tab w:val="left" w:pos="709" w:leader="none"/>
        </w:tabs>
        <w:ind w:firstLine="709" w:left="0"/>
        <w:jc w:val="both"/>
        <w:rPr>
          <w:bCs/>
        </w:rPr>
      </w:pPr>
      <w:r>
        <w:rPr>
          <w:bCs/>
        </w:rPr>
        <w:t>приказ по предприятию о назначении ответственных за исполнение обязательств по настоящему Договору в целом; за производство отдельных видов работ и их качество; за еженедельное формирование и предоставление Заказчику отчетов о ходе исполнения обязательств по настоящему договору;</w:t>
      </w:r>
    </w:p>
    <w:p>
      <w:pPr>
        <w:pStyle w:val="ListParagraph"/>
        <w:widowControl w:val="false"/>
        <w:numPr>
          <w:ilvl w:val="0"/>
          <w:numId w:val="14"/>
        </w:numPr>
        <w:tabs>
          <w:tab w:val="clear" w:pos="708"/>
          <w:tab w:val="left" w:pos="709" w:leader="none"/>
        </w:tabs>
        <w:ind w:firstLine="709" w:left="0"/>
        <w:jc w:val="both"/>
        <w:rPr>
          <w:bCs/>
        </w:rPr>
      </w:pPr>
      <w:r>
        <w:rPr>
          <w:bCs/>
        </w:rPr>
        <w:t>копии документов, подтверждающих наличие у Подрядчика и его персонала допусков, разрешений и лицензий, необходимых для выполнения Работ;</w:t>
      </w:r>
    </w:p>
    <w:p>
      <w:pPr>
        <w:pStyle w:val="ListParagraph"/>
        <w:widowControl w:val="false"/>
        <w:numPr>
          <w:ilvl w:val="0"/>
          <w:numId w:val="14"/>
        </w:numPr>
        <w:tabs>
          <w:tab w:val="clear" w:pos="708"/>
          <w:tab w:val="left" w:pos="709" w:leader="none"/>
        </w:tabs>
        <w:ind w:firstLine="709" w:left="0"/>
        <w:jc w:val="both"/>
        <w:rPr>
          <w:bCs/>
        </w:rPr>
      </w:pPr>
      <w:r>
        <w:rPr>
          <w:bCs/>
        </w:rPr>
        <w:t>пофамильные списки персонала, привлекаемого для выполнения Работ, а также копии всех документов, подтверждающих его квалификацию.</w:t>
      </w:r>
    </w:p>
    <w:p>
      <w:pPr>
        <w:pStyle w:val="ListParagraph"/>
        <w:widowControl w:val="false"/>
        <w:numPr>
          <w:ilvl w:val="0"/>
          <w:numId w:val="0"/>
        </w:numPr>
        <w:tabs>
          <w:tab w:val="clear" w:pos="708"/>
          <w:tab w:val="left" w:pos="709" w:leader="none"/>
        </w:tabs>
        <w:spacing w:lineRule="auto" w:line="240" w:before="0" w:after="0"/>
        <w:ind w:hanging="0" w:left="0" w:right="0"/>
        <w:contextualSpacing/>
        <w:jc w:val="both"/>
        <w:rPr>
          <w:bCs/>
        </w:rPr>
      </w:pPr>
      <w:r>
        <w:rPr>
          <w:bCs/>
        </w:rPr>
        <w:t xml:space="preserve">                     </w:t>
      </w:r>
      <w:r>
        <w:rPr>
          <w:bCs/>
        </w:rPr>
        <w:t>Руководитель Подрядчика до начала выполнения работ на объекте Заказчика, направляет Руководителю объекта Заказчика сопроводительное письмо (по форме Приложени</w:t>
      </w:r>
      <w:r>
        <w:rPr>
          <w:bCs/>
        </w:rPr>
        <w:t>е №</w:t>
      </w:r>
      <w:r>
        <w:rPr>
          <w:bCs/>
        </w:rPr>
        <w:t xml:space="preserve"> 10 к Договору), с указанием цели командировки/ направления, а также список работников, с предоставлением прав ответственных за безопасное выполнение работ на объектах Заказчика с указанием группы по электробезопасности и разряда работников; копий приказов о назначении лиц, ответственных за соблюдение требований охраны труда, пожарной безопасности на объекте выполнения работ; лицах имеющих право подписи актов-допусков. </w:t>
      </w:r>
    </w:p>
    <w:p>
      <w:pPr>
        <w:pStyle w:val="ListParagraph"/>
        <w:widowControl w:val="false"/>
        <w:numPr>
          <w:ilvl w:val="0"/>
          <w:numId w:val="14"/>
        </w:numPr>
        <w:tabs>
          <w:tab w:val="clear" w:pos="708"/>
          <w:tab w:val="left" w:pos="709" w:leader="none"/>
        </w:tabs>
        <w:ind w:firstLine="709" w:left="0"/>
        <w:jc w:val="both"/>
        <w:rPr>
          <w:bCs/>
        </w:rPr>
      </w:pPr>
      <w:r>
        <w:rPr>
          <w:bCs/>
        </w:rPr>
        <w:t>Проект Производства Работ (ППР) с указанием общих методов и технологии работ, организационных вопросов с приложением графика выполнения работ (с указанием физических объёмов, потребных трудозатрат и материалов).  В течение 3 (Трех) календарных дней с даты выдачи замечаний Заказчиком Подрядчик устраняет замечания Заказчика и повторно предоставляет Заказчику ППР.</w:t>
      </w:r>
    </w:p>
    <w:p>
      <w:pPr>
        <w:pStyle w:val="ListParagraph"/>
        <w:widowControl w:val="false"/>
        <w:numPr>
          <w:ilvl w:val="2"/>
          <w:numId w:val="3"/>
        </w:numPr>
        <w:tabs>
          <w:tab w:val="clear" w:pos="708"/>
          <w:tab w:val="left" w:pos="1418" w:leader="none"/>
        </w:tabs>
        <w:ind w:firstLine="709" w:left="0"/>
        <w:jc w:val="both"/>
        <w:rPr>
          <w:bCs/>
        </w:rPr>
      </w:pPr>
      <w:r>
        <w:rPr>
          <w:bCs/>
        </w:rPr>
        <w:t>Обеспечить сохранность переданных Заказчиком по соответствующим актам сдачи-приемки мест,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w:t>
      </w:r>
      <w:r>
        <w:rPr>
          <w:bCs/>
          <w:highlight w:val="white"/>
        </w:rPr>
        <w:t xml:space="preserve"> 1.6.2 </w:t>
      </w:r>
      <w:r>
        <w:rPr>
          <w:bCs/>
        </w:rPr>
        <w:t>Договора, либо, в случаях прекращения (расторжения) Договора, указанных в пункт</w:t>
      </w:r>
      <w:r>
        <w:rPr>
          <w:bCs/>
          <w:highlight w:val="white"/>
        </w:rPr>
        <w:t xml:space="preserve">е 2.2.3 </w:t>
      </w:r>
      <w:r>
        <w:rPr>
          <w:bCs/>
        </w:rPr>
        <w:t xml:space="preserve">и разделе 15 Договора, – не позднее 3 (трех) рабочих дней с даты получения соответствующего требования Заказчика. </w:t>
      </w:r>
    </w:p>
    <w:p>
      <w:pPr>
        <w:pStyle w:val="ListParagraph"/>
        <w:widowControl w:val="false"/>
        <w:numPr>
          <w:ilvl w:val="2"/>
          <w:numId w:val="3"/>
        </w:numPr>
        <w:tabs>
          <w:tab w:val="clear" w:pos="708"/>
          <w:tab w:val="left" w:pos="1418" w:leader="none"/>
        </w:tabs>
        <w:ind w:firstLine="709" w:left="0"/>
        <w:jc w:val="both"/>
        <w:rPr>
          <w:color w:themeColor="text1" w:val="000000"/>
        </w:rPr>
      </w:pPr>
      <w:r>
        <w:rPr>
          <w:color w:themeColor="text1" w:val="000000"/>
        </w:rPr>
        <w:t>Обеспечить наличие допусков, разрешений и лицензий, необходимых для производства Работ.</w:t>
      </w:r>
    </w:p>
    <w:p>
      <w:pPr>
        <w:pStyle w:val="ListParagraph"/>
        <w:widowControl w:val="false"/>
        <w:tabs>
          <w:tab w:val="clear" w:pos="708"/>
          <w:tab w:val="left" w:pos="1418" w:leader="none"/>
        </w:tabs>
        <w:ind w:firstLine="709" w:left="0"/>
        <w:jc w:val="both"/>
        <w:rPr>
          <w:color w:themeColor="text1" w:val="000000"/>
        </w:rPr>
      </w:pPr>
      <w:r>
        <w:rPr>
          <w:color w:themeColor="text1" w:val="000000"/>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color w:themeColor="text1" w:val="000000"/>
        </w:rPr>
        <w:t>, в том числе указанных в Приложении № 5 к Договору</w:t>
      </w:r>
      <w:r>
        <w:rPr>
          <w:color w:themeColor="text1" w:val="000000"/>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widowControl w:val="false"/>
        <w:tabs>
          <w:tab w:val="clear" w:pos="708"/>
          <w:tab w:val="left" w:pos="1418" w:leader="none"/>
        </w:tabs>
        <w:ind w:firstLine="709" w:left="0"/>
        <w:jc w:val="both"/>
        <w:rPr>
          <w:color w:themeColor="text1" w:val="000000"/>
        </w:rPr>
      </w:pPr>
      <w:r>
        <w:rPr>
          <w:color w:themeColor="text1" w:val="000000"/>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widowControl w:val="false"/>
        <w:tabs>
          <w:tab w:val="clear" w:pos="708"/>
          <w:tab w:val="left" w:pos="1418" w:leader="none"/>
        </w:tabs>
        <w:ind w:firstLine="709" w:left="0"/>
        <w:jc w:val="both"/>
        <w:rPr>
          <w:color w:themeColor="text1" w:val="000000"/>
        </w:rPr>
      </w:pPr>
      <w:r>
        <w:rPr>
          <w:color w:themeColor="text1" w:val="000000"/>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widowControl w:val="false"/>
        <w:numPr>
          <w:ilvl w:val="2"/>
          <w:numId w:val="3"/>
        </w:numPr>
        <w:tabs>
          <w:tab w:val="clear" w:pos="708"/>
          <w:tab w:val="left" w:pos="1418" w:leader="none"/>
        </w:tabs>
        <w:ind w:firstLine="710" w:left="0"/>
        <w:jc w:val="both"/>
        <w:rPr>
          <w:bCs/>
          <w:color w:themeColor="text1" w:val="000000"/>
          <w:highlight w:val="white"/>
        </w:rPr>
      </w:pPr>
      <w:r>
        <w:rPr>
          <w:color w:themeColor="text1" w:val="000000"/>
        </w:rPr>
        <w:t>Выполнять</w:t>
      </w:r>
      <w:r>
        <w:rPr>
          <w:bCs/>
          <w:color w:themeColor="text1" w:val="000000"/>
        </w:rPr>
        <w:t xml:space="preserve"> Работы силами квалифицированных специалистов (в том числе с учетом требований п.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и не имеющих неснятой или непогашенной судимости, не состоящих на учете в учреждениях органов здравоохранения по поводу психического </w:t>
      </w:r>
      <w:r>
        <w:rPr>
          <w:bCs/>
          <w:color w:themeColor="text1" w:val="000000"/>
          <w:highlight w:val="white"/>
        </w:rPr>
        <w:t xml:space="preserve">заболевания, алкоголизма или наркомании. </w:t>
      </w:r>
    </w:p>
    <w:p>
      <w:pPr>
        <w:pStyle w:val="ListParagraph"/>
        <w:widowControl w:val="false"/>
        <w:numPr>
          <w:ilvl w:val="2"/>
          <w:numId w:val="3"/>
        </w:numPr>
        <w:tabs>
          <w:tab w:val="clear" w:pos="708"/>
          <w:tab w:val="left" w:pos="1418" w:leader="none"/>
        </w:tabs>
        <w:ind w:firstLine="709" w:left="0"/>
        <w:jc w:val="both"/>
        <w:rPr>
          <w:color w:themeColor="text1" w:val="000000"/>
          <w:highlight w:val="white"/>
        </w:rPr>
      </w:pPr>
      <w:r>
        <w:rPr>
          <w:color w:themeColor="text1" w:val="000000"/>
          <w:highlight w:val="white"/>
        </w:rPr>
        <w:t>Обеспечить:</w:t>
      </w:r>
    </w:p>
    <w:p>
      <w:pPr>
        <w:pStyle w:val="ListParagraph"/>
        <w:numPr>
          <w:ilvl w:val="0"/>
          <w:numId w:val="25"/>
        </w:numPr>
        <w:shd w:val="clear" w:color="auto" w:fill="FFFFFF"/>
        <w:tabs>
          <w:tab w:val="clear" w:pos="708"/>
          <w:tab w:val="left" w:pos="567" w:leader="none"/>
          <w:tab w:val="left" w:pos="1418" w:leader="none"/>
        </w:tabs>
        <w:ind w:firstLine="709" w:left="0"/>
        <w:jc w:val="both"/>
        <w:rPr>
          <w:bCs/>
        </w:rPr>
      </w:pPr>
      <w:r>
        <w:rPr>
          <w:bCs/>
        </w:rPr>
        <w:t xml:space="preserve">участие в саморегулируемой организации, основанной на членстве лиц, </w:t>
      </w:r>
      <w:r>
        <w:rPr/>
        <w:t>выполняющих подготовку проектной документации</w:t>
      </w:r>
      <w:r>
        <w:rPr>
          <w:bCs/>
        </w:rPr>
        <w:t xml:space="preserve"> и осуществляющих строительство</w:t>
      </w:r>
      <w:r>
        <w:rPr>
          <w:rStyle w:val="FootnoteReference"/>
          <w:bCs/>
        </w:rPr>
        <w:footnoteReference w:id="2"/>
      </w:r>
      <w:r>
        <w:rPr>
          <w:bCs/>
        </w:rPr>
        <w:t xml:space="preserve"> (с учетом исключений, предусмотренных законодательством Российской Федерации</w:t>
      </w:r>
      <w:r>
        <w:rPr>
          <w:rStyle w:val="FootnoteReference"/>
          <w:bCs/>
        </w:rPr>
        <w:footnoteReference w:id="3"/>
      </w:r>
      <w:r>
        <w:rPr>
          <w:bCs/>
        </w:rPr>
        <w:t>);</w:t>
      </w:r>
    </w:p>
    <w:p>
      <w:pPr>
        <w:pStyle w:val="ListParagraph"/>
        <w:numPr>
          <w:ilvl w:val="0"/>
          <w:numId w:val="25"/>
        </w:numPr>
        <w:shd w:val="clear" w:color="auto" w:fill="FFFFFF"/>
        <w:tabs>
          <w:tab w:val="clear" w:pos="708"/>
          <w:tab w:val="left" w:pos="567" w:leader="none"/>
          <w:tab w:val="left" w:pos="1418" w:leader="none"/>
        </w:tabs>
        <w:ind w:firstLine="709" w:left="0"/>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25"/>
        </w:numPr>
        <w:tabs>
          <w:tab w:val="clear" w:pos="708"/>
          <w:tab w:val="left" w:pos="567" w:leader="none"/>
        </w:tabs>
        <w:ind w:firstLine="709" w:left="0"/>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r>
        <w:rPr>
          <w:rStyle w:val="FootnoteReference"/>
          <w:bCs/>
        </w:rPr>
        <w:footnoteReference w:id="4"/>
      </w:r>
      <w:r>
        <w:rPr>
          <w:bCs/>
        </w:rPr>
        <w:t>.</w:t>
      </w:r>
    </w:p>
    <w:p>
      <w:pPr>
        <w:pStyle w:val="ListParagraph"/>
        <w:widowControl w:val="false"/>
        <w:numPr>
          <w:ilvl w:val="2"/>
          <w:numId w:val="3"/>
        </w:numPr>
        <w:tabs>
          <w:tab w:val="clear" w:pos="708"/>
          <w:tab w:val="left" w:pos="1418" w:leader="none"/>
        </w:tabs>
        <w:ind w:firstLine="710" w:left="0"/>
        <w:jc w:val="both"/>
        <w:rPr/>
      </w:pPr>
      <w:r>
        <w:rPr/>
        <w:t>Обеспечить самостоятельно от своего имени приобретение Материально-технических ресурсов и оборудования, необходимых для реализации работ на Объекте.</w:t>
      </w:r>
    </w:p>
    <w:p>
      <w:pPr>
        <w:pStyle w:val="ListParagraph"/>
        <w:widowControl w:val="false"/>
        <w:numPr>
          <w:ilvl w:val="2"/>
          <w:numId w:val="3"/>
        </w:numPr>
        <w:tabs>
          <w:tab w:val="clear" w:pos="708"/>
          <w:tab w:val="left" w:pos="1418" w:leader="none"/>
        </w:tabs>
        <w:ind w:firstLine="710" w:left="0"/>
        <w:jc w:val="both"/>
        <w:rPr/>
      </w:pPr>
      <w:r>
        <w:rPr/>
        <w:t xml:space="preserve"> </w:t>
      </w:r>
      <w:r>
        <w:rPr/>
        <w:t xml:space="preserve">Проследить за тем, чтобы все предоставляемые Материально-технические ресурсы на момент доставки на </w:t>
      </w:r>
      <w:r>
        <w:rPr>
          <w:bCs/>
        </w:rPr>
        <w:t>Место производства Работ</w:t>
      </w:r>
      <w:r>
        <w:rPr/>
        <w:t xml:space="preserve"> являлись новыми (не более 12 месяцев с даты изготовления) и не были использованы ранее, а также соответствовали Рабочей документации, требованиям Применимого права, являлись полностью пригодными для использования по предназначению, не имели дефектов и недостатков, были упакованы в соответствии с условиями и сроками хранения.</w:t>
      </w:r>
    </w:p>
    <w:p>
      <w:pPr>
        <w:pStyle w:val="ListParagraph"/>
        <w:widowControl w:val="false"/>
        <w:numPr>
          <w:ilvl w:val="2"/>
          <w:numId w:val="3"/>
        </w:numPr>
        <w:tabs>
          <w:tab w:val="clear" w:pos="708"/>
          <w:tab w:val="left" w:pos="1418" w:leader="none"/>
        </w:tabs>
        <w:ind w:firstLine="710" w:left="0"/>
        <w:jc w:val="both"/>
        <w:rPr>
          <w:bCs/>
        </w:rPr>
      </w:pPr>
      <w:r>
        <w:rPr>
          <w:bCs/>
        </w:rPr>
        <w:t xml:space="preserve">Организовать в порядке, установленном </w:t>
      </w:r>
      <w:r>
        <w:rPr>
          <w:bCs/>
          <w:highlight w:val="white"/>
        </w:rPr>
        <w:t xml:space="preserve">Приложением № 12 </w:t>
      </w:r>
      <w:r>
        <w:rPr>
          <w:bCs/>
        </w:rPr>
        <w:t xml:space="preserve">к Договору,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widowControl w:val="false"/>
        <w:tabs>
          <w:tab w:val="clear" w:pos="708"/>
          <w:tab w:val="left" w:pos="1418" w:leader="none"/>
        </w:tabs>
        <w:ind w:firstLine="710" w:left="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pPr>
        <w:pStyle w:val="ListParagraph"/>
        <w:widowControl w:val="false"/>
        <w:numPr>
          <w:ilvl w:val="2"/>
          <w:numId w:val="3"/>
        </w:numPr>
        <w:tabs>
          <w:tab w:val="clear" w:pos="708"/>
          <w:tab w:val="left" w:pos="1418" w:leader="none"/>
        </w:tabs>
        <w:ind w:firstLine="709" w:left="0"/>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widowControl w:val="false"/>
        <w:numPr>
          <w:ilvl w:val="2"/>
          <w:numId w:val="3"/>
        </w:numPr>
        <w:tabs>
          <w:tab w:val="clear" w:pos="708"/>
          <w:tab w:val="left" w:pos="1418" w:leader="none"/>
        </w:tabs>
        <w:ind w:firstLine="709" w:left="0"/>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widowControl w:val="false"/>
        <w:numPr>
          <w:ilvl w:val="2"/>
          <w:numId w:val="3"/>
        </w:numPr>
        <w:tabs>
          <w:tab w:val="clear" w:pos="708"/>
          <w:tab w:val="left" w:pos="1418" w:leader="none"/>
        </w:tabs>
        <w:ind w:firstLine="709" w:left="0"/>
        <w:jc w:val="both"/>
        <w:rPr>
          <w:bCs/>
        </w:rPr>
      </w:pPr>
      <w:r>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ListParagraph"/>
        <w:widowControl w:val="false"/>
        <w:numPr>
          <w:ilvl w:val="2"/>
          <w:numId w:val="3"/>
        </w:numPr>
        <w:tabs>
          <w:tab w:val="clear" w:pos="708"/>
          <w:tab w:val="left" w:pos="1418" w:leader="none"/>
        </w:tabs>
        <w:ind w:firstLine="710" w:left="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widowControl w:val="false"/>
        <w:numPr>
          <w:ilvl w:val="2"/>
          <w:numId w:val="3"/>
        </w:numPr>
        <w:tabs>
          <w:tab w:val="clear" w:pos="708"/>
          <w:tab w:val="left" w:pos="1418" w:leader="none"/>
        </w:tabs>
        <w:ind w:firstLine="709" w:left="0"/>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widowControl w:val="false"/>
        <w:numPr>
          <w:ilvl w:val="2"/>
          <w:numId w:val="3"/>
        </w:numPr>
        <w:tabs>
          <w:tab w:val="clear" w:pos="708"/>
          <w:tab w:val="left" w:pos="1418" w:leader="none"/>
        </w:tabs>
        <w:ind w:firstLine="710" w:left="0"/>
        <w:jc w:val="both"/>
        <w:rPr>
          <w:bCs/>
        </w:rPr>
      </w:pPr>
      <w:r>
        <w:rPr/>
        <w:t>В случаях, когда это необходимо согласно Применимому Праву, направить в компетентный Государственный Орган уведомление о начале строительных и монтажных Работ.</w:t>
      </w:r>
    </w:p>
    <w:p>
      <w:pPr>
        <w:pStyle w:val="ListParagraph"/>
        <w:widowControl w:val="false"/>
        <w:numPr>
          <w:ilvl w:val="2"/>
          <w:numId w:val="3"/>
        </w:numPr>
        <w:tabs>
          <w:tab w:val="clear" w:pos="708"/>
          <w:tab w:val="left" w:pos="1418" w:leader="none"/>
        </w:tabs>
        <w:ind w:firstLine="710" w:left="0"/>
        <w:jc w:val="both"/>
        <w:rPr/>
      </w:pPr>
      <w:r>
        <w:rPr/>
        <w:t>В порядке и по формам, установленным нормами Применимого Права</w:t>
      </w:r>
      <w:r>
        <w:rPr>
          <w:bCs/>
        </w:rPr>
        <w:t>, в том числе Приказом Министерства строительства и жилищно-коммунального хозяйства Российской Федерации от 16 мая 2023г.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Pr/>
        <w:t>, подготовить и поддерживать в обновленном виде полный комплект Исполнительной документации, обеспечивая достоверность и полноту фактических сведений о выполненных Работах.</w:t>
        <w:tab/>
        <w:br/>
        <w:t xml:space="preserve">           Исполнительная документация должна храниться на Месте производства работ и использоваться исключительно в целях, предусмотренных в Договоре.</w:t>
      </w:r>
    </w:p>
    <w:p>
      <w:pPr>
        <w:pStyle w:val="ListParagraph"/>
        <w:widowControl w:val="false"/>
        <w:numPr>
          <w:ilvl w:val="2"/>
          <w:numId w:val="3"/>
        </w:numPr>
        <w:tabs>
          <w:tab w:val="clear" w:pos="708"/>
          <w:tab w:val="left" w:pos="1418" w:leader="none"/>
        </w:tabs>
        <w:ind w:firstLine="709" w:left="0"/>
        <w:jc w:val="both"/>
        <w:rPr>
          <w:bCs/>
        </w:rPr>
      </w:pPr>
      <w:r>
        <w:rPr>
          <w:bCs/>
        </w:rPr>
        <w:t>По объекту производства работ подготовить и регулярно (ежедневно) вести общий (форма КС-6), специальный журналы производства работ и журнал учета выполненных работ (форма КС-6а).</w:t>
      </w:r>
    </w:p>
    <w:p>
      <w:pPr>
        <w:pStyle w:val="ListParagraph"/>
        <w:widowControl w:val="false"/>
        <w:numPr>
          <w:ilvl w:val="2"/>
          <w:numId w:val="3"/>
        </w:numPr>
        <w:tabs>
          <w:tab w:val="clear" w:pos="708"/>
          <w:tab w:val="left" w:pos="1418" w:leader="none"/>
        </w:tabs>
        <w:ind w:firstLine="709" w:left="0"/>
        <w:jc w:val="both"/>
        <w:rPr>
          <w:bCs/>
        </w:rPr>
      </w:pPr>
      <w:r>
        <w:rPr>
          <w:bCs/>
        </w:rPr>
        <w:t xml:space="preserve">Вести общий журнал производства работ на русском языке. </w:t>
      </w:r>
    </w:p>
    <w:p>
      <w:pPr>
        <w:pStyle w:val="ListParagraph"/>
        <w:widowControl w:val="false"/>
        <w:tabs>
          <w:tab w:val="clear" w:pos="708"/>
          <w:tab w:val="left" w:pos="1418" w:leader="none"/>
        </w:tabs>
        <w:ind w:firstLine="709" w:left="0"/>
        <w:jc w:val="both"/>
        <w:rPr>
          <w:bCs/>
        </w:rPr>
      </w:pPr>
      <w:r>
        <w:rPr>
          <w:bCs/>
        </w:rPr>
        <w:t>Форма журнала работ Подрядчиком согласована с Заказчиком и соответствует форме, утвержденной приказом Министерства строительства и жилищно-коммунального хозяйства от 2 декабря 2022 г. №1026пр. Если Заказчик не удовлетворен ходом и качеством работ, применяемых материально-технических ресурсов или записями Подрядчика, то он обязан изложить свое обоснованное мнение в журнале производства работ с указанием срока устранения допущенных отклонений. Подрядчик в течение указанного срока исполняет указания представителя Заказчика, о чем Подрядчик обязан сделать отметку об исполнении в журнале производства работ.</w:t>
      </w:r>
    </w:p>
    <w:p>
      <w:pPr>
        <w:pStyle w:val="ListParagraph"/>
        <w:widowControl w:val="false"/>
        <w:numPr>
          <w:ilvl w:val="2"/>
          <w:numId w:val="3"/>
        </w:numPr>
        <w:tabs>
          <w:tab w:val="clear" w:pos="708"/>
          <w:tab w:val="left" w:pos="1418" w:leader="none"/>
        </w:tabs>
        <w:ind w:firstLine="709" w:left="0"/>
        <w:jc w:val="both"/>
        <w:rPr>
          <w:bCs/>
        </w:rPr>
      </w:pPr>
      <w:r>
        <w:rPr>
          <w:bCs/>
        </w:rPr>
        <w:t xml:space="preserve">Предоставить Заказчику в полном объеме необходимую для приемки Работ оформленную в порядке, установленном СТО РусГидро 01.02.115-2019 «Приёмка и ввод в эксплуатацию. Правила приёмки и ввода в эксплуатацию полностью законченных строительством объектов и отдельных этапов строительства», приемо-сдаточную и исполнительную документацию в 3 (трех) экземплярах на бумажном носителе и </w:t>
      </w:r>
      <w:r>
        <w:rPr>
          <w:rFonts w:eastAsia="Calibri"/>
          <w:lang w:eastAsia="en-US"/>
        </w:rPr>
        <w:t>на электронном носителе</w:t>
      </w:r>
      <w:r>
        <w:rPr>
          <w:bCs/>
        </w:rPr>
        <w:t>:</w:t>
      </w:r>
    </w:p>
    <w:p>
      <w:pPr>
        <w:pStyle w:val="ListParagraph"/>
        <w:widowControl w:val="false"/>
        <w:tabs>
          <w:tab w:val="clear" w:pos="708"/>
          <w:tab w:val="left" w:pos="1418" w:leader="none"/>
        </w:tabs>
        <w:ind w:firstLine="709" w:left="0"/>
        <w:jc w:val="both"/>
        <w:rPr>
          <w:bCs/>
        </w:rPr>
      </w:pPr>
      <w:r>
        <w:rPr>
          <w:bCs/>
        </w:rPr>
        <w:t>- в формате pdf - 1 (один) экземпляр;</w:t>
      </w:r>
    </w:p>
    <w:p>
      <w:pPr>
        <w:pStyle w:val="ListParagraph"/>
        <w:widowControl w:val="false"/>
        <w:tabs>
          <w:tab w:val="clear" w:pos="708"/>
          <w:tab w:val="left" w:pos="1418" w:leader="none"/>
        </w:tabs>
        <w:ind w:firstLine="709" w:left="0"/>
        <w:jc w:val="both"/>
        <w:rPr>
          <w:bCs/>
        </w:rPr>
      </w:pPr>
      <w:r>
        <w:rPr>
          <w:bCs/>
        </w:rPr>
        <w:t>- тестовые документы (акты, протоколы, ведомости и т.п.) в формате doc - 1 (один) экземпляр;</w:t>
      </w:r>
    </w:p>
    <w:p>
      <w:pPr>
        <w:pStyle w:val="ListParagraph"/>
        <w:widowControl w:val="false"/>
        <w:tabs>
          <w:tab w:val="clear" w:pos="708"/>
          <w:tab w:val="left" w:pos="1418" w:leader="none"/>
        </w:tabs>
        <w:ind w:firstLine="709" w:left="0"/>
        <w:jc w:val="both"/>
        <w:rPr/>
      </w:pPr>
      <w:r>
        <w:rPr>
          <w:bCs/>
        </w:rPr>
        <w:t xml:space="preserve">- графические документы (схемы, планы, чертежи и т.п.) в формате dwg или cdw. </w:t>
        <w:tab/>
        <w:br/>
        <w:t xml:space="preserve">           Исполнительная документация должна обеспечивать достоверность и полноту сведений о фактически выполненных Работах.</w:t>
      </w:r>
    </w:p>
    <w:p>
      <w:pPr>
        <w:pStyle w:val="ListParagraph"/>
        <w:widowControl w:val="false"/>
        <w:tabs>
          <w:tab w:val="clear" w:pos="708"/>
          <w:tab w:val="left" w:pos="1418" w:leader="none"/>
        </w:tabs>
        <w:ind w:firstLine="709" w:left="0"/>
        <w:jc w:val="both"/>
        <w:rPr/>
      </w:pPr>
      <w:r>
        <w:rPr>
          <w:color w:themeColor="text1" w:val="000000"/>
          <w:highlight w:val="white"/>
          <w:lang w:eastAsia="en-US"/>
        </w:rPr>
        <w:t>Сформированные комплекты Исполнительной документации размещаются в электронном виде на сетевом ресурсе Группы РусГидро в соответствии с п.2.1.7 Договора.</w:t>
      </w:r>
    </w:p>
    <w:p>
      <w:pPr>
        <w:pStyle w:val="ListParagraph"/>
        <w:widowControl w:val="false"/>
        <w:numPr>
          <w:ilvl w:val="2"/>
          <w:numId w:val="3"/>
        </w:numPr>
        <w:tabs>
          <w:tab w:val="clear" w:pos="708"/>
          <w:tab w:val="left" w:pos="1418" w:leader="none"/>
        </w:tabs>
        <w:ind w:firstLine="709" w:left="0"/>
        <w:jc w:val="both"/>
        <w:rPr>
          <w:bCs/>
        </w:rPr>
      </w:pPr>
      <w:r>
        <w:rPr>
          <w:bCs/>
        </w:rPr>
        <w:t>По требованию Заказчика представлять информацию и пояснения о ходе выполнения Работ, а также документы, полученные Подрядчиком в ходе выполнения своих обязательств по Договору, в том числе копии предписаний контролирующих и надзорных органов, выданных Подрядчику и привлеченным им Субподрядчикам.</w:t>
      </w:r>
    </w:p>
    <w:p>
      <w:pPr>
        <w:pStyle w:val="ListParagraph"/>
        <w:widowControl w:val="false"/>
        <w:numPr>
          <w:ilvl w:val="2"/>
          <w:numId w:val="3"/>
        </w:numPr>
        <w:tabs>
          <w:tab w:val="clear" w:pos="708"/>
          <w:tab w:val="left" w:pos="1418" w:leader="none"/>
        </w:tabs>
        <w:ind w:firstLine="709" w:left="0"/>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widowControl w:val="false"/>
        <w:numPr>
          <w:ilvl w:val="2"/>
          <w:numId w:val="3"/>
        </w:numPr>
        <w:tabs>
          <w:tab w:val="clear" w:pos="708"/>
          <w:tab w:val="left" w:pos="1418" w:leader="none"/>
        </w:tabs>
        <w:ind w:firstLine="709" w:left="0"/>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widowControl w:val="false"/>
        <w:numPr>
          <w:ilvl w:val="2"/>
          <w:numId w:val="3"/>
        </w:numPr>
        <w:tabs>
          <w:tab w:val="clear" w:pos="708"/>
          <w:tab w:val="left" w:pos="1418" w:leader="none"/>
        </w:tabs>
        <w:ind w:firstLine="710" w:left="0"/>
        <w:jc w:val="both"/>
        <w:rPr>
          <w:bCs/>
          <w:highlight w:val="yellow"/>
        </w:rPr>
      </w:pPr>
      <w:r>
        <w:rPr>
          <w:bCs/>
          <w:highlight w:val="white"/>
        </w:rPr>
        <w:t>Выполнять полученные в ходе исполнения Договора указания Заказчика,</w:t>
      </w:r>
      <w:r>
        <w:rPr>
          <w:highlight w:val="white"/>
        </w:rPr>
        <w:t xml:space="preserve"> </w:t>
      </w:r>
      <w:r>
        <w:rPr>
          <w:bCs/>
          <w:highlight w:val="white"/>
        </w:rPr>
        <w:t>если такие указания не противоречат условиям Договора и не представляют собой вмешательства в деятельность Подрядчика.</w:t>
      </w:r>
      <w:r>
        <w:rPr>
          <w:bCs/>
          <w:highlight w:val="yellow"/>
        </w:rPr>
        <w:t xml:space="preserve"> </w:t>
      </w:r>
    </w:p>
    <w:p>
      <w:pPr>
        <w:pStyle w:val="Normal"/>
        <w:widowControl w:val="false"/>
        <w:tabs>
          <w:tab w:val="clear" w:pos="708"/>
          <w:tab w:val="left" w:pos="1418" w:leader="none"/>
        </w:tabs>
        <w:spacing w:lineRule="auto" w:line="240"/>
        <w:ind w:firstLine="709"/>
        <w:rPr>
          <w:sz w:val="24"/>
          <w:szCs w:val="24"/>
        </w:rPr>
      </w:pPr>
      <w:r>
        <w:rPr>
          <w:bCs/>
        </w:rPr>
        <w:t xml:space="preserve"> </w:t>
      </w: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widowControl w:val="false"/>
        <w:tabs>
          <w:tab w:val="clear" w:pos="708"/>
          <w:tab w:val="left" w:pos="1418" w:leader="none"/>
        </w:tabs>
        <w:spacing w:lineRule="auto" w:line="240"/>
        <w:ind w:firstLine="709"/>
        <w:rPr>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2.3.28.1 Договора. </w:t>
      </w:r>
    </w:p>
    <w:p>
      <w:pPr>
        <w:pStyle w:val="Normal"/>
        <w:widowControl w:val="false"/>
        <w:tabs>
          <w:tab w:val="clear" w:pos="708"/>
          <w:tab w:val="left" w:pos="1418" w:leader="none"/>
        </w:tabs>
        <w:spacing w:lineRule="auto" w:line="240"/>
        <w:ind w:hanging="0" w:left="710"/>
        <w:rPr>
          <w:sz w:val="24"/>
          <w:szCs w:val="24"/>
        </w:rPr>
      </w:pPr>
      <w:r>
        <w:rPr>
          <w:bCs/>
          <w:sz w:val="24"/>
          <w:szCs w:val="24"/>
        </w:rPr>
        <w:t>Подрядчик не вправе отказаться от выполнения или задержать выполнение указаний</w:t>
      </w:r>
    </w:p>
    <w:p>
      <w:pPr>
        <w:pStyle w:val="Normal"/>
        <w:widowControl w:val="false"/>
        <w:tabs>
          <w:tab w:val="clear" w:pos="708"/>
          <w:tab w:val="left" w:pos="1418" w:leader="none"/>
        </w:tabs>
        <w:spacing w:lineRule="auto" w:line="240"/>
        <w:ind w:hanging="0"/>
        <w:rPr>
          <w:sz w:val="24"/>
          <w:szCs w:val="24"/>
        </w:rPr>
      </w:pPr>
      <w:r>
        <w:rPr>
          <w:bCs/>
          <w:sz w:val="24"/>
          <w:szCs w:val="24"/>
        </w:rPr>
        <w:t>Заказчика в части сокращения объемов Работ, прекращения и / или исключения отдельных видов Работ, кроме случая, указанного в пункте 2.3.28.1 Договора</w:t>
      </w:r>
      <w:r>
        <w:rPr>
          <w:bCs/>
        </w:rPr>
        <w:t xml:space="preserve">. </w:t>
      </w:r>
    </w:p>
    <w:p>
      <w:pPr>
        <w:pStyle w:val="ListParagraph"/>
        <w:widowControl w:val="false"/>
        <w:numPr>
          <w:ilvl w:val="2"/>
          <w:numId w:val="3"/>
        </w:numPr>
        <w:tabs>
          <w:tab w:val="clear" w:pos="708"/>
          <w:tab w:val="left" w:pos="1418" w:leader="none"/>
        </w:tabs>
        <w:ind w:firstLine="710" w:left="0"/>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widowControl w:val="false"/>
        <w:numPr>
          <w:ilvl w:val="3"/>
          <w:numId w:val="3"/>
        </w:numPr>
        <w:tabs>
          <w:tab w:val="clear" w:pos="708"/>
          <w:tab w:val="left" w:pos="1701" w:leader="none"/>
        </w:tabs>
        <w:ind w:firstLine="709" w:left="0"/>
        <w:jc w:val="both"/>
        <w:rPr>
          <w:bCs/>
        </w:rPr>
      </w:pPr>
      <w:r>
        <w:rPr>
          <w:bCs/>
        </w:rPr>
        <w:t xml:space="preserve">-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widowControl w:val="false"/>
        <w:numPr>
          <w:ilvl w:val="3"/>
          <w:numId w:val="3"/>
        </w:numPr>
        <w:tabs>
          <w:tab w:val="clear" w:pos="708"/>
          <w:tab w:val="left" w:pos="1701" w:leader="none"/>
        </w:tabs>
        <w:ind w:firstLine="709" w:left="0"/>
        <w:jc w:val="both"/>
        <w:rPr>
          <w:bCs/>
        </w:rPr>
      </w:pPr>
      <w:r>
        <w:rPr>
          <w:bCs/>
        </w:rPr>
        <w:t>-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widowControl w:val="false"/>
        <w:numPr>
          <w:ilvl w:val="3"/>
          <w:numId w:val="3"/>
        </w:numPr>
        <w:tabs>
          <w:tab w:val="clear" w:pos="708"/>
          <w:tab w:val="left" w:pos="1701" w:leader="none"/>
        </w:tabs>
        <w:ind w:firstLine="709" w:left="0"/>
        <w:jc w:val="both"/>
        <w:rPr>
          <w:bCs/>
        </w:rPr>
      </w:pPr>
      <w:r>
        <w:rPr>
          <w:bCs/>
        </w:rPr>
        <w:t>- 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widowControl w:val="false"/>
        <w:tabs>
          <w:tab w:val="clear" w:pos="708"/>
          <w:tab w:val="left" w:pos="567" w:leader="none"/>
        </w:tabs>
        <w:ind w:firstLine="709" w:left="0"/>
        <w:jc w:val="both"/>
        <w:rPr>
          <w:bCs/>
        </w:rPr>
      </w:pPr>
      <w:r>
        <w:rPr>
          <w:bCs/>
        </w:rPr>
        <w:t>Невыполнение Подрядчиком требований пункта 2.3.28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widowControl w:val="false"/>
        <w:numPr>
          <w:ilvl w:val="2"/>
          <w:numId w:val="3"/>
        </w:numPr>
        <w:tabs>
          <w:tab w:val="clear" w:pos="708"/>
          <w:tab w:val="left" w:pos="1418" w:leader="none"/>
        </w:tabs>
        <w:ind w:firstLine="709" w:left="0"/>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widowControl w:val="false"/>
        <w:numPr>
          <w:ilvl w:val="0"/>
          <w:numId w:val="15"/>
        </w:numPr>
        <w:ind w:firstLine="709" w:left="0" w:right="23"/>
        <w:jc w:val="both"/>
        <w:rPr/>
      </w:pPr>
      <w:r>
        <w:rPr/>
        <w:t>аварии – в течение 2 (двух) часов;</w:t>
      </w:r>
    </w:p>
    <w:p>
      <w:pPr>
        <w:pStyle w:val="ListParagraph"/>
        <w:widowControl w:val="false"/>
        <w:numPr>
          <w:ilvl w:val="0"/>
          <w:numId w:val="15"/>
        </w:numPr>
        <w:ind w:firstLine="709" w:left="0" w:right="23"/>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widowControl w:val="false"/>
        <w:numPr>
          <w:ilvl w:val="0"/>
          <w:numId w:val="15"/>
        </w:numPr>
        <w:ind w:firstLine="709" w:left="0" w:right="23"/>
        <w:jc w:val="both"/>
        <w:rPr/>
      </w:pPr>
      <w:r>
        <w:rPr/>
        <w:t>хищении и иных противоправных действиях – в течение 24 (двадцати четырех) часов;</w:t>
      </w:r>
    </w:p>
    <w:p>
      <w:pPr>
        <w:pStyle w:val="ListParagraph"/>
        <w:widowControl w:val="false"/>
        <w:numPr>
          <w:ilvl w:val="0"/>
          <w:numId w:val="15"/>
        </w:numPr>
        <w:ind w:firstLine="709" w:left="0" w:right="23"/>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widowControl w:val="false"/>
        <w:numPr>
          <w:ilvl w:val="0"/>
          <w:numId w:val="15"/>
        </w:numPr>
        <w:ind w:firstLine="709" w:left="0" w:right="23"/>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widowControl w:val="false"/>
        <w:numPr>
          <w:ilvl w:val="0"/>
          <w:numId w:val="15"/>
        </w:numPr>
        <w:ind w:firstLine="709" w:left="0" w:right="23"/>
        <w:jc w:val="both"/>
        <w:rPr/>
      </w:pPr>
      <w:r>
        <w:rPr/>
        <w:t>иных обстоятельствах, фактах, сообщениях в средствах массовой информации – в течение 24 (двадцати четырех) часов.</w:t>
      </w:r>
    </w:p>
    <w:p>
      <w:pPr>
        <w:pStyle w:val="ListParagraph"/>
        <w:widowControl w:val="false"/>
        <w:numPr>
          <w:ilvl w:val="2"/>
          <w:numId w:val="3"/>
        </w:numPr>
        <w:tabs>
          <w:tab w:val="clear" w:pos="708"/>
          <w:tab w:val="left" w:pos="1418" w:leader="none"/>
        </w:tabs>
        <w:ind w:firstLine="710" w:left="0"/>
        <w:jc w:val="both"/>
        <w:rPr/>
      </w:pPr>
      <w:r>
        <w:rPr/>
        <w:t xml:space="preserve">Нести риск случайной гибели и случайного повреждения мест (помещений), оборудования, материалов и инструмента, принятых от Заказчика в соответствии с пунктом </w:t>
      </w:r>
      <w:r>
        <w:rPr>
          <w:highlight w:val="white"/>
        </w:rPr>
        <w:t xml:space="preserve">2.3.2 </w:t>
      </w:r>
      <w:r>
        <w:rPr/>
        <w:t>Договора, до момента их передачи (возврата) Заказчику по соответствующим актам сдачи-приемки по форме Приложения № 4 к Договору.</w:t>
      </w:r>
    </w:p>
    <w:p>
      <w:pPr>
        <w:pStyle w:val="ListParagraph"/>
        <w:widowControl w:val="false"/>
        <w:numPr>
          <w:ilvl w:val="2"/>
          <w:numId w:val="3"/>
        </w:numPr>
        <w:tabs>
          <w:tab w:val="clear" w:pos="708"/>
          <w:tab w:val="left" w:pos="1418" w:leader="none"/>
        </w:tabs>
        <w:ind w:firstLine="709" w:left="0"/>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widowControl w:val="false"/>
        <w:tabs>
          <w:tab w:val="clear" w:pos="708"/>
          <w:tab w:val="left" w:pos="1418" w:leader="none"/>
        </w:tabs>
        <w:ind w:firstLine="709" w:left="0"/>
        <w:jc w:val="both"/>
        <w:rPr/>
      </w:pPr>
      <w:r>
        <w:rPr/>
        <w:t>Подрядчик обязан незамедлительно приступать к устранению недостатков, о которых ему стало известно.</w:t>
      </w:r>
    </w:p>
    <w:p>
      <w:pPr>
        <w:pStyle w:val="ListParagraph"/>
        <w:widowControl w:val="false"/>
        <w:numPr>
          <w:ilvl w:val="2"/>
          <w:numId w:val="3"/>
        </w:numPr>
        <w:tabs>
          <w:tab w:val="clear" w:pos="708"/>
          <w:tab w:val="left" w:pos="1418" w:leader="none"/>
        </w:tabs>
        <w:ind w:firstLine="709" w:left="0"/>
        <w:jc w:val="both"/>
        <w:rPr>
          <w:bCs/>
        </w:rPr>
      </w:pPr>
      <w:r>
        <w:rPr/>
        <w:t xml:space="preserve">Письменно уведомлять Заказчика о необходимости проведения освидетельствования и / или приемки Скрытых работ. </w:t>
      </w:r>
    </w:p>
    <w:p>
      <w:pPr>
        <w:pStyle w:val="ListParagraph"/>
        <w:widowControl w:val="false"/>
        <w:tabs>
          <w:tab w:val="clear" w:pos="708"/>
          <w:tab w:val="left" w:pos="1418" w:leader="none"/>
        </w:tabs>
        <w:ind w:firstLine="709" w:left="0"/>
        <w:jc w:val="both"/>
        <w:rPr>
          <w:bCs/>
        </w:rPr>
      </w:pPr>
      <w:r>
        <w:rPr/>
        <w:t>Указанное уведомление должно быть получено Заказчиком заблаговременно</w:t>
      </w:r>
      <w:r>
        <w:rPr>
          <w:bCs/>
        </w:rPr>
        <w:t>, но не позднее, чем за 3</w:t>
      </w:r>
      <w:r>
        <w:rPr/>
        <w:t xml:space="preserve"> (три)</w:t>
      </w:r>
      <w:r>
        <w:rPr>
          <w:bCs/>
        </w:rPr>
        <w:t xml:space="preserve"> рабочих дня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widowControl w:val="false"/>
        <w:numPr>
          <w:ilvl w:val="2"/>
          <w:numId w:val="3"/>
        </w:numPr>
        <w:tabs>
          <w:tab w:val="clear" w:pos="708"/>
          <w:tab w:val="left" w:pos="1418" w:leader="none"/>
        </w:tabs>
        <w:ind w:firstLine="709" w:left="0"/>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widowControl w:val="false"/>
        <w:numPr>
          <w:ilvl w:val="2"/>
          <w:numId w:val="3"/>
        </w:numPr>
        <w:tabs>
          <w:tab w:val="clear" w:pos="708"/>
          <w:tab w:val="left" w:pos="1418" w:leader="none"/>
        </w:tabs>
        <w:ind w:firstLine="709" w:left="0"/>
        <w:jc w:val="both"/>
        <w:rPr/>
      </w:pPr>
      <w:r>
        <w:rPr/>
        <w:t>В случае каких-либо изменений в цепочке собственников Подрядчика, включая бенефициаров, и (или) исполнительных органах, предоставить соответствующую информацию не позднее 5 (пяти) календарных дней после таких изменений. Не предоставление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pPr>
        <w:pStyle w:val="ListParagraph"/>
        <w:widowControl w:val="false"/>
        <w:numPr>
          <w:ilvl w:val="2"/>
          <w:numId w:val="3"/>
        </w:numPr>
        <w:tabs>
          <w:tab w:val="clear" w:pos="708"/>
          <w:tab w:val="left" w:pos="1418" w:leader="none"/>
        </w:tabs>
        <w:ind w:firstLine="709" w:left="0"/>
        <w:jc w:val="both"/>
        <w:rPr>
          <w:bCs/>
        </w:rPr>
      </w:pPr>
      <w:r>
        <w:rPr/>
        <w:t>Обеспечить круглосуточную охрану места производства работ.</w:t>
      </w:r>
    </w:p>
    <w:p>
      <w:pPr>
        <w:pStyle w:val="ListParagraph"/>
        <w:widowControl w:val="false"/>
        <w:numPr>
          <w:ilvl w:val="2"/>
          <w:numId w:val="3"/>
        </w:numPr>
        <w:tabs>
          <w:tab w:val="clear" w:pos="708"/>
          <w:tab w:val="left" w:pos="1418" w:leader="none"/>
        </w:tabs>
        <w:ind w:firstLine="709" w:left="0"/>
        <w:jc w:val="both"/>
        <w:rPr/>
      </w:pPr>
      <w:r>
        <w:rPr/>
        <w:t>Обеспечить недопущение несанкционированного доступа посторонних лиц на места производства работ.</w:t>
      </w:r>
    </w:p>
    <w:p>
      <w:pPr>
        <w:pStyle w:val="ListParagraph"/>
        <w:widowControl w:val="false"/>
        <w:numPr>
          <w:ilvl w:val="2"/>
          <w:numId w:val="3"/>
        </w:numPr>
        <w:tabs>
          <w:tab w:val="clear" w:pos="708"/>
          <w:tab w:val="left" w:pos="1418" w:leader="none"/>
        </w:tabs>
        <w:ind w:firstLine="709" w:left="0"/>
        <w:jc w:val="both"/>
        <w:rPr>
          <w:bCs/>
        </w:rPr>
      </w:pPr>
      <w:r>
        <w:rPr>
          <w:bCs/>
        </w:rPr>
        <w:t>Исполнять требования действующего законодательства в области охраны труда, промышленной и пожарной безопасности, в том числе:</w:t>
      </w:r>
    </w:p>
    <w:p>
      <w:pPr>
        <w:pStyle w:val="ListParagraph"/>
        <w:widowControl w:val="false"/>
        <w:numPr>
          <w:ilvl w:val="3"/>
          <w:numId w:val="3"/>
        </w:numPr>
        <w:tabs>
          <w:tab w:val="clear" w:pos="708"/>
          <w:tab w:val="left" w:pos="1701" w:leader="none"/>
        </w:tabs>
        <w:ind w:firstLine="709" w:left="0"/>
        <w:jc w:val="both"/>
        <w:rPr>
          <w:bCs/>
        </w:rPr>
      </w:pPr>
      <w:r>
        <w:rPr>
          <w:bCs/>
        </w:rPr>
        <w:t>Выполнять работы в соответствии с требованиями Федеральных законов, постановлений Правительства РФ, отраслевых и межотраслевых положений и правил, соблюдать требования проектов производства работ, инструкций, технологических карт;</w:t>
      </w:r>
    </w:p>
    <w:p>
      <w:pPr>
        <w:pStyle w:val="ListParagraph"/>
        <w:widowControl w:val="false"/>
        <w:numPr>
          <w:ilvl w:val="3"/>
          <w:numId w:val="3"/>
        </w:numPr>
        <w:tabs>
          <w:tab w:val="clear" w:pos="708"/>
          <w:tab w:val="left" w:pos="1701" w:leader="none"/>
        </w:tabs>
        <w:ind w:firstLine="709" w:left="0"/>
        <w:jc w:val="both"/>
        <w:rPr>
          <w:bCs/>
        </w:rPr>
      </w:pPr>
      <w:r>
        <w:rPr>
          <w:bCs/>
        </w:rPr>
        <w:t>Обеспечивать выполнение Работ по Договору квалифицированными работниками и ИТР, прошедшими обучение, стажировку, проверку знаний требований охраны труда, пожарной безопасности, имеющих соответствующую группу по электробезопасности, аттестованными на знание правил промышленной безопасности, не имеющими медицинских противопоказаний в соответствии с характером выполняемых работ и видов оборудования, на котором выполняются работы, с записями в удостоверениях;</w:t>
      </w:r>
    </w:p>
    <w:p>
      <w:pPr>
        <w:pStyle w:val="ListParagraph"/>
        <w:widowControl w:val="false"/>
        <w:numPr>
          <w:ilvl w:val="3"/>
          <w:numId w:val="3"/>
        </w:numPr>
        <w:tabs>
          <w:tab w:val="clear" w:pos="708"/>
          <w:tab w:val="left" w:pos="1701" w:leader="none"/>
        </w:tabs>
        <w:ind w:firstLine="709" w:left="0"/>
        <w:jc w:val="both"/>
        <w:rPr>
          <w:bCs/>
        </w:rPr>
      </w:pPr>
      <w:r>
        <w:rPr>
          <w:bCs/>
        </w:rPr>
        <w:t>Обеспечивать контроль работы собственного и привлеченного персонала, соблюдения требований техники безопасности, промышленной, пожарной безопасности;</w:t>
      </w:r>
    </w:p>
    <w:p>
      <w:pPr>
        <w:pStyle w:val="ListParagraph"/>
        <w:widowControl w:val="false"/>
        <w:numPr>
          <w:ilvl w:val="3"/>
          <w:numId w:val="3"/>
        </w:numPr>
        <w:tabs>
          <w:tab w:val="clear" w:pos="708"/>
          <w:tab w:val="left" w:pos="1701" w:leader="none"/>
        </w:tabs>
        <w:ind w:firstLine="709" w:left="0"/>
        <w:jc w:val="both"/>
        <w:rPr>
          <w:bCs/>
        </w:rPr>
      </w:pPr>
      <w:r>
        <w:rPr>
          <w:bCs/>
        </w:rPr>
        <w:t>Обеспечивать разработку совмещенного графика производства работ (при необходимости) совместно с Заказчиком;</w:t>
      </w:r>
    </w:p>
    <w:p>
      <w:pPr>
        <w:pStyle w:val="ListParagraph"/>
        <w:widowControl w:val="false"/>
        <w:numPr>
          <w:ilvl w:val="3"/>
          <w:numId w:val="3"/>
        </w:numPr>
        <w:tabs>
          <w:tab w:val="clear" w:pos="708"/>
          <w:tab w:val="left" w:pos="1701" w:leader="none"/>
        </w:tabs>
        <w:ind w:firstLine="709" w:left="0"/>
        <w:jc w:val="both"/>
        <w:rPr>
          <w:bCs/>
        </w:rPr>
      </w:pPr>
      <w:r>
        <w:rPr>
          <w:bCs/>
        </w:rPr>
        <w:t>Обеспечивать прохождение персоналом вводного, первичного инструктажей на рабочем месте в организации Заказчика;</w:t>
      </w:r>
    </w:p>
    <w:p>
      <w:pPr>
        <w:pStyle w:val="ListParagraph"/>
        <w:widowControl w:val="false"/>
        <w:numPr>
          <w:ilvl w:val="3"/>
          <w:numId w:val="3"/>
        </w:numPr>
        <w:tabs>
          <w:tab w:val="clear" w:pos="708"/>
          <w:tab w:val="left" w:pos="1701" w:leader="none"/>
        </w:tabs>
        <w:ind w:firstLine="709" w:left="0"/>
        <w:jc w:val="both"/>
        <w:rPr>
          <w:bCs/>
        </w:rPr>
      </w:pPr>
      <w:r>
        <w:rPr>
          <w:bCs/>
        </w:rPr>
        <w:t>Выполнять работы в строгом соответствии с выданными нарядами и актами допуска;</w:t>
      </w:r>
    </w:p>
    <w:p>
      <w:pPr>
        <w:pStyle w:val="ListParagraph"/>
        <w:widowControl w:val="false"/>
        <w:numPr>
          <w:ilvl w:val="3"/>
          <w:numId w:val="3"/>
        </w:numPr>
        <w:tabs>
          <w:tab w:val="clear" w:pos="708"/>
          <w:tab w:val="left" w:pos="1701" w:leader="none"/>
        </w:tabs>
        <w:ind w:firstLine="709" w:left="0"/>
        <w:jc w:val="both"/>
        <w:rPr>
          <w:bCs/>
        </w:rPr>
      </w:pPr>
      <w:r>
        <w:rPr>
          <w:bCs/>
        </w:rPr>
        <w:t>Обеспечивать выполнение собственным и привлеченным персоналом мероприятий, правил и инструкций по охране труда и технике безопасности, требований ПТЭ, промышленной, пожарной безопасности, санитарно-гигиенических норм, выдачу и обязательное применение своими работниками и работниками субподрядных организаций средств индивидуальной защиты, спецодежды;</w:t>
      </w:r>
    </w:p>
    <w:p>
      <w:pPr>
        <w:pStyle w:val="ListParagraph"/>
        <w:widowControl w:val="false"/>
        <w:numPr>
          <w:ilvl w:val="3"/>
          <w:numId w:val="3"/>
        </w:numPr>
        <w:tabs>
          <w:tab w:val="clear" w:pos="708"/>
          <w:tab w:val="left" w:pos="1701" w:leader="none"/>
        </w:tabs>
        <w:ind w:firstLine="709" w:left="0"/>
        <w:jc w:val="both"/>
        <w:rPr>
          <w:bCs/>
        </w:rPr>
      </w:pPr>
      <w:r>
        <w:rPr>
          <w:bCs/>
        </w:rPr>
        <w:t>Обеспечивать поддержание чистоты и порядка на рабочих местах, в производственных, служебных, бытовых помещений на объектах Заказчика, соблюдения правил пожарной безопасности, ежедневную уборку рабочих мест и по окончании работ, сдачу их по акту;</w:t>
      </w:r>
    </w:p>
    <w:p>
      <w:pPr>
        <w:pStyle w:val="ListParagraph"/>
        <w:widowControl w:val="false"/>
        <w:numPr>
          <w:ilvl w:val="3"/>
          <w:numId w:val="3"/>
        </w:numPr>
        <w:tabs>
          <w:tab w:val="clear" w:pos="708"/>
          <w:tab w:val="left" w:pos="1701" w:leader="none"/>
        </w:tabs>
        <w:ind w:firstLine="709" w:left="0"/>
        <w:jc w:val="both"/>
        <w:rPr>
          <w:bCs/>
        </w:rPr>
      </w:pPr>
      <w:r>
        <w:rPr>
          <w:bCs/>
        </w:rPr>
        <w:t xml:space="preserve"> </w:t>
      </w:r>
      <w:r>
        <w:rPr>
          <w:bCs/>
        </w:rPr>
        <w:t>Выполнять предписания, выданные руководителями и специалистами Заказчика по немедленному устранению выявленных нарушений требований охраны труда, промышленной, пожарной безопасности;</w:t>
      </w:r>
    </w:p>
    <w:p>
      <w:pPr>
        <w:pStyle w:val="ListParagraph"/>
        <w:widowControl w:val="false"/>
        <w:numPr>
          <w:ilvl w:val="2"/>
          <w:numId w:val="3"/>
        </w:numPr>
        <w:tabs>
          <w:tab w:val="clear" w:pos="708"/>
          <w:tab w:val="left" w:pos="1418" w:leader="none"/>
        </w:tabs>
        <w:ind w:firstLine="709" w:left="0"/>
        <w:jc w:val="both"/>
        <w:rPr/>
      </w:pPr>
      <w:r>
        <w:rPr>
          <w:bCs/>
        </w:rPr>
        <w:t xml:space="preserve"> </w:t>
      </w:r>
      <w:r>
        <w:rPr>
          <w:bCs/>
        </w:rPr>
        <w:t>Не допускать к работе (отстранить от работы) своих работников, а в случае привлечения субподрядных организаций, и работников субподрядчика, появившихся на объекте в состоянии алкогольного, наркотического или токсического опьянения</w:t>
      </w:r>
    </w:p>
    <w:p>
      <w:pPr>
        <w:pStyle w:val="ListParagraph"/>
        <w:numPr>
          <w:ilvl w:val="2"/>
          <w:numId w:val="3"/>
        </w:numPr>
        <w:tabs>
          <w:tab w:val="clear" w:pos="708"/>
          <w:tab w:val="left" w:pos="1418" w:leader="none"/>
        </w:tabs>
        <w:ind w:firstLine="709" w:left="0"/>
        <w:jc w:val="both"/>
        <w:rPr>
          <w:bCs/>
        </w:rPr>
      </w:pPr>
      <w:r>
        <w:rPr>
          <w:bCs/>
        </w:rPr>
        <w:t>Вести постоянный технический контроль производства строительно-монтажных и пусконаладочных работ и поступающих на объект материалов, изделий, оборудования.</w:t>
      </w:r>
    </w:p>
    <w:p>
      <w:pPr>
        <w:pStyle w:val="ListParagraph"/>
        <w:widowControl w:val="false"/>
        <w:numPr>
          <w:ilvl w:val="2"/>
          <w:numId w:val="3"/>
        </w:numPr>
        <w:tabs>
          <w:tab w:val="clear" w:pos="708"/>
          <w:tab w:val="left" w:pos="1418" w:leader="none"/>
        </w:tabs>
        <w:ind w:firstLine="709" w:left="0"/>
        <w:jc w:val="both"/>
        <w:rPr>
          <w:bCs/>
        </w:rPr>
      </w:pPr>
      <w:r>
        <w:rPr>
          <w:bCs/>
        </w:rPr>
        <w:t>Беспрепятственно допускать руководство Заказчика, лиц технического надзора, авторского надзора или любое лицо, уполномоченное в письменной форме Заказчиком, в места производства работ на Объекте в течение всего периода реализации проекта.</w:t>
      </w:r>
    </w:p>
    <w:p>
      <w:pPr>
        <w:pStyle w:val="ListParagraph"/>
        <w:widowControl w:val="false"/>
        <w:numPr>
          <w:ilvl w:val="2"/>
          <w:numId w:val="3"/>
        </w:numPr>
        <w:tabs>
          <w:tab w:val="clear" w:pos="708"/>
          <w:tab w:val="left" w:pos="1418" w:leader="none"/>
        </w:tabs>
        <w:ind w:firstLine="709" w:left="0"/>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widowControl w:val="false"/>
        <w:tabs>
          <w:tab w:val="clear" w:pos="708"/>
          <w:tab w:val="left" w:pos="709" w:leader="none"/>
          <w:tab w:val="left" w:pos="1418" w:leader="none"/>
        </w:tabs>
        <w:ind w:firstLine="709" w:left="0"/>
        <w:jc w:val="both"/>
        <w:rPr>
          <w:bCs/>
        </w:rPr>
      </w:pPr>
      <w:r>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pPr>
        <w:pStyle w:val="ListParagraph"/>
        <w:widowControl w:val="false"/>
        <w:numPr>
          <w:ilvl w:val="2"/>
          <w:numId w:val="3"/>
        </w:numPr>
        <w:tabs>
          <w:tab w:val="clear" w:pos="708"/>
          <w:tab w:val="left" w:pos="1418" w:leader="none"/>
        </w:tabs>
        <w:ind w:firstLine="709" w:left="0"/>
        <w:jc w:val="both"/>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 xml:space="preserve">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widowControl w:val="false"/>
        <w:numPr>
          <w:ilvl w:val="2"/>
          <w:numId w:val="3"/>
        </w:numPr>
        <w:ind w:firstLine="709" w:left="0"/>
        <w:jc w:val="both"/>
        <w:rPr/>
      </w:pPr>
      <w:r>
        <w:rPr/>
        <w:t>Предоставить Заказчику Независимую гарантию в соответствии с разделом 6 Договора.</w:t>
      </w:r>
    </w:p>
    <w:p>
      <w:pPr>
        <w:pStyle w:val="ListParagraph"/>
        <w:widowControl w:val="false"/>
        <w:numPr>
          <w:ilvl w:val="2"/>
          <w:numId w:val="3"/>
        </w:numPr>
        <w:tabs>
          <w:tab w:val="clear" w:pos="708"/>
          <w:tab w:val="left" w:pos="1418" w:leader="none"/>
        </w:tabs>
        <w:ind w:firstLine="709" w:left="0"/>
        <w:jc w:val="both"/>
        <w:rPr/>
      </w:pPr>
      <w:r>
        <w:rPr/>
        <w:t>Оформить технический план на линейный объект и предоставить для согласования Заказчику</w:t>
      </w:r>
    </w:p>
    <w:p>
      <w:pPr>
        <w:pStyle w:val="ListParagraph"/>
        <w:widowControl w:val="false"/>
        <w:numPr>
          <w:ilvl w:val="2"/>
          <w:numId w:val="3"/>
        </w:numPr>
        <w:ind w:firstLine="709" w:left="0"/>
        <w:jc w:val="both"/>
        <w:rPr/>
      </w:pPr>
      <w:r>
        <w:rPr/>
        <w:t>Направлять ежемесячно, в срок до 23   числа месяца гарантийное письмо Заказчику об объемах работ, которые будут предъявлены Заказчику за текущий месяц, с указанием сумм для предстоящего финансирования, либо направить письменное уведомление Заказчику об отсутствии ожидаемого выполнения.</w:t>
      </w:r>
    </w:p>
    <w:p>
      <w:pPr>
        <w:pStyle w:val="ListParagraph"/>
        <w:widowControl w:val="false"/>
        <w:numPr>
          <w:ilvl w:val="2"/>
          <w:numId w:val="3"/>
        </w:numPr>
        <w:ind w:firstLine="709" w:left="0"/>
        <w:jc w:val="both"/>
        <w:rPr/>
      </w:pPr>
      <w:r>
        <w:rPr>
          <w:rFonts w:eastAsia="Times New Roman" w:cs="Times New Roman"/>
          <w:i w:val="false"/>
          <w:iCs w:val="false"/>
          <w:color w:val="000000"/>
          <w:sz w:val="24"/>
          <w:u w:val="none"/>
        </w:rPr>
        <w:t>Соблюдать требования, указанные в Постановлении Правительства Российской Федерации от 23 декабря 2024 г.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части закупок материально-технических ресурсов.</w:t>
      </w:r>
    </w:p>
    <w:p>
      <w:pPr>
        <w:pStyle w:val="ListParagraph"/>
        <w:widowControl w:val="false"/>
        <w:numPr>
          <w:ilvl w:val="2"/>
          <w:numId w:val="3"/>
        </w:numPr>
        <w:ind w:firstLine="709" w:left="0"/>
        <w:jc w:val="both"/>
        <w:rPr/>
      </w:pPr>
      <w:r>
        <w:rPr/>
        <w:t xml:space="preserve">Исполнять иные обязанности, предусмотренные Договором и </w:t>
      </w:r>
      <w:r>
        <w:rPr>
          <w:bCs/>
        </w:rPr>
        <w:t>законодательством Российской Федерации.</w:t>
      </w:r>
    </w:p>
    <w:p>
      <w:pPr>
        <w:pStyle w:val="ListParagraph"/>
        <w:widowControl w:val="false"/>
        <w:numPr>
          <w:ilvl w:val="1"/>
          <w:numId w:val="3"/>
        </w:numPr>
        <w:tabs>
          <w:tab w:val="clear" w:pos="708"/>
          <w:tab w:val="left" w:pos="1134" w:leader="none"/>
        </w:tabs>
        <w:ind w:firstLine="709" w:left="0"/>
        <w:jc w:val="both"/>
        <w:rPr>
          <w:bCs/>
        </w:rPr>
      </w:pPr>
      <w:r>
        <w:rPr>
          <w:bCs/>
          <w:u w:val="single"/>
        </w:rPr>
        <w:t>Подрядчик имеет право</w:t>
      </w:r>
      <w:r>
        <w:rPr>
          <w:bCs/>
        </w:rPr>
        <w:t>:</w:t>
      </w:r>
    </w:p>
    <w:p>
      <w:pPr>
        <w:pStyle w:val="ListParagraph"/>
        <w:widowControl w:val="false"/>
        <w:numPr>
          <w:ilvl w:val="2"/>
          <w:numId w:val="3"/>
        </w:numPr>
        <w:tabs>
          <w:tab w:val="clear" w:pos="708"/>
          <w:tab w:val="left" w:pos="1418" w:leader="none"/>
        </w:tabs>
        <w:ind w:firstLine="709" w:left="0"/>
        <w:jc w:val="both"/>
        <w:rPr>
          <w:bCs/>
        </w:rPr>
      </w:pPr>
      <w:r>
        <w:rPr>
          <w:bCs/>
        </w:rPr>
        <w:t>Самостоятельно организовать выполнение Работ.</w:t>
      </w:r>
    </w:p>
    <w:p>
      <w:pPr>
        <w:pStyle w:val="ListParagraph"/>
        <w:widowControl w:val="false"/>
        <w:numPr>
          <w:ilvl w:val="2"/>
          <w:numId w:val="3"/>
        </w:numPr>
        <w:tabs>
          <w:tab w:val="clear" w:pos="708"/>
          <w:tab w:val="left" w:pos="1418" w:leader="none"/>
        </w:tabs>
        <w:ind w:firstLine="709" w:left="0"/>
        <w:jc w:val="both"/>
        <w:rPr>
          <w:sz w:val="24"/>
          <w:szCs w:val="24"/>
        </w:rPr>
      </w:pPr>
      <w:r>
        <w:rPr>
          <w:bCs/>
          <w:sz w:val="24"/>
          <w:szCs w:val="24"/>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___  (______) процентов от Цены Договора, неся при этом ответственность за действия Субподрядчиков, как за свои собственные. </w:t>
      </w:r>
    </w:p>
    <w:p>
      <w:pPr>
        <w:pStyle w:val="ListParagraph"/>
        <w:widowControl w:val="false"/>
        <w:tabs>
          <w:tab w:val="clear" w:pos="708"/>
          <w:tab w:val="left" w:pos="1418" w:leader="none"/>
        </w:tabs>
        <w:ind w:firstLine="709" w:left="0"/>
        <w:jc w:val="both"/>
        <w:rPr>
          <w:bCs/>
        </w:rPr>
      </w:pPr>
      <w:r>
        <w:rPr>
          <w:bCs/>
        </w:rPr>
        <w:t xml:space="preserve">При согласовании привлечения Субподрядчика Подрядчик представляет Заказчику: </w:t>
      </w:r>
    </w:p>
    <w:p>
      <w:pPr>
        <w:pStyle w:val="ListParagraph"/>
        <w:widowControl w:val="false"/>
        <w:numPr>
          <w:ilvl w:val="0"/>
          <w:numId w:val="18"/>
        </w:numPr>
        <w:tabs>
          <w:tab w:val="clear" w:pos="708"/>
          <w:tab w:val="left" w:pos="709" w:leader="none"/>
        </w:tabs>
        <w:ind w:firstLine="709" w:left="0"/>
        <w:jc w:val="both"/>
        <w:rPr>
          <w:bCs/>
        </w:rPr>
      </w:pPr>
      <w:r>
        <w:rPr>
          <w:bCs/>
        </w:rPr>
        <w:t xml:space="preserve">проект договора с Субподрядчиком. При этом в Договоре субподряда должно быть предусмотрено право Заказчика проверять и наблюдать за деятельностью Субподрядчика с участием Подрядчика и за выполнением Субподрядчиком любых обязательств, принятых по Договору субподряда. Субподрядчик обязан выполнять требования Заказчика, аналогичные предъявляемым к Подрядчику, и предоставлять все необходимую документацию (документы, отчеты и т.д.); </w:t>
      </w:r>
    </w:p>
    <w:p>
      <w:pPr>
        <w:pStyle w:val="ListParagraph"/>
        <w:widowControl w:val="false"/>
        <w:numPr>
          <w:ilvl w:val="0"/>
          <w:numId w:val="18"/>
        </w:numPr>
        <w:tabs>
          <w:tab w:val="clear" w:pos="708"/>
          <w:tab w:val="left" w:pos="709" w:leader="none"/>
        </w:tabs>
        <w:ind w:firstLine="709" w:left="0"/>
        <w:jc w:val="both"/>
        <w:rPr>
          <w:bCs/>
        </w:rPr>
      </w:pPr>
      <w:r>
        <w:rPr>
          <w:bCs/>
        </w:rPr>
        <w:t xml:space="preserve">сведения об объемах выполнения работ Субподрядчиком; </w:t>
      </w:r>
    </w:p>
    <w:p>
      <w:pPr>
        <w:pStyle w:val="ListParagraph"/>
        <w:widowControl w:val="false"/>
        <w:numPr>
          <w:ilvl w:val="0"/>
          <w:numId w:val="18"/>
        </w:numPr>
        <w:tabs>
          <w:tab w:val="clear" w:pos="708"/>
          <w:tab w:val="left" w:pos="709" w:leader="none"/>
        </w:tabs>
        <w:ind w:firstLine="709" w:left="0"/>
        <w:jc w:val="both"/>
        <w:rPr>
          <w:bCs/>
        </w:rPr>
      </w:pPr>
      <w:r>
        <w:rPr>
          <w:bCs/>
        </w:rPr>
        <w:t xml:space="preserve">пофамильный перечень персонала Субподрядчика, который будет задействован при производстве Работ; </w:t>
      </w:r>
    </w:p>
    <w:p>
      <w:pPr>
        <w:pStyle w:val="ListParagraph"/>
        <w:widowControl w:val="false"/>
        <w:numPr>
          <w:ilvl w:val="0"/>
          <w:numId w:val="18"/>
        </w:numPr>
        <w:tabs>
          <w:tab w:val="clear" w:pos="708"/>
          <w:tab w:val="left" w:pos="709" w:leader="none"/>
        </w:tabs>
        <w:ind w:firstLine="709" w:left="0"/>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r>
        <w:rPr>
          <w:bCs/>
          <w:color w:themeColor="text1" w:val="000000"/>
          <w:sz w:val="24"/>
          <w:szCs w:val="24"/>
          <w:highlight w:val="white"/>
        </w:rPr>
        <w:t>а также учредительные документы</w:t>
      </w:r>
      <w:r>
        <w:rPr>
          <w:bCs/>
          <w:color w:themeColor="text1" w:val="000000"/>
          <w:sz w:val="24"/>
          <w:szCs w:val="24"/>
        </w:rPr>
        <w:t xml:space="preserve"> включая: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w:t>
      </w:r>
    </w:p>
    <w:p>
      <w:pPr>
        <w:pStyle w:val="ListParagraph"/>
        <w:widowControl w:val="false"/>
        <w:tabs>
          <w:tab w:val="clear" w:pos="708"/>
          <w:tab w:val="left" w:pos="709" w:leader="none"/>
        </w:tabs>
        <w:ind w:firstLine="709" w:left="0"/>
        <w:jc w:val="both"/>
        <w:rPr>
          <w:bCs/>
        </w:rPr>
      </w:pPr>
      <w:r>
        <w:rPr>
          <w:bCs/>
        </w:rPr>
      </w:r>
    </w:p>
    <w:p>
      <w:pPr>
        <w:pStyle w:val="ListParagraph"/>
        <w:numPr>
          <w:ilvl w:val="0"/>
          <w:numId w:val="3"/>
        </w:numPr>
        <w:tabs>
          <w:tab w:val="clear" w:pos="708"/>
          <w:tab w:val="left" w:pos="284" w:leader="none"/>
        </w:tabs>
        <w:ind w:hanging="0" w:left="0"/>
        <w:jc w:val="center"/>
        <w:rPr>
          <w:highlight w:val="white"/>
        </w:rPr>
      </w:pPr>
      <w:r>
        <w:rPr>
          <w:b/>
          <w:bCs/>
          <w:highlight w:val="white"/>
        </w:rPr>
        <w:t>Цена Договора и порядок расчетов</w:t>
      </w:r>
    </w:p>
    <w:p>
      <w:pPr>
        <w:pStyle w:val="Normal"/>
        <w:widowControl/>
        <w:tabs>
          <w:tab w:val="clear" w:pos="708"/>
          <w:tab w:val="left" w:pos="735" w:leader="none"/>
          <w:tab w:val="left" w:pos="1134" w:leader="none"/>
        </w:tabs>
        <w:spacing w:lineRule="auto" w:line="240" w:before="0" w:after="0"/>
        <w:ind w:hanging="0" w:left="0" w:right="0"/>
        <w:jc w:val="both"/>
        <w:rPr/>
      </w:pPr>
      <w:r>
        <w:rPr>
          <w:sz w:val="24"/>
          <w:szCs w:val="24"/>
        </w:rPr>
        <w:tab/>
        <w:t xml:space="preserve">3.1. </w:t>
      </w:r>
      <w:bookmarkStart w:id="13" w:name="_Ref361335465"/>
      <w:r>
        <w:rPr>
          <w:bCs/>
          <w:sz w:val="24"/>
          <w:szCs w:val="24"/>
        </w:rPr>
        <w:t xml:space="preserve">Цена </w:t>
      </w:r>
      <w:r>
        <w:rPr>
          <w:sz w:val="24"/>
          <w:szCs w:val="24"/>
        </w:rPr>
        <w:t xml:space="preserve">Договора </w:t>
      </w:r>
      <w:r>
        <w:rPr>
          <w:bCs/>
          <w:sz w:val="24"/>
          <w:szCs w:val="24"/>
        </w:rPr>
        <w:t xml:space="preserve">в соответствии со </w:t>
      </w:r>
      <w:r>
        <w:rPr>
          <w:bCs/>
          <w:color w:themeColor="text1" w:val="000000"/>
          <w:sz w:val="24"/>
          <w:szCs w:val="24"/>
        </w:rPr>
        <w:t>Сводным сметным расчетом стоимости строительства</w:t>
      </w:r>
      <w:r>
        <w:rPr>
          <w:bCs/>
          <w:sz w:val="24"/>
          <w:szCs w:val="24"/>
        </w:rPr>
        <w:t xml:space="preserve"> (Приложение № 3 к Договору) является предельной и составляет ___________ (_______________) рубля ___ копейки, в том числе НДС ______________(                          ) рублей ____ копеек. </w:t>
      </w:r>
    </w:p>
    <w:p>
      <w:pPr>
        <w:pStyle w:val="16"/>
        <w:numPr>
          <w:ilvl w:val="0"/>
          <w:numId w:val="0"/>
        </w:numPr>
        <w:ind w:hanging="0" w:left="709"/>
        <w:rPr/>
      </w:pPr>
      <w:r>
        <w:rPr/>
        <w:t>3.1.1.   Цена   проектных   работ   в   соответствии   со  сметой   на   проектные  работы</w:t>
      </w:r>
    </w:p>
    <w:p>
      <w:pPr>
        <w:pStyle w:val="16"/>
        <w:numPr>
          <w:ilvl w:val="0"/>
          <w:numId w:val="0"/>
        </w:numPr>
        <w:ind w:hanging="0" w:left="0"/>
        <w:rPr/>
      </w:pPr>
      <w:r>
        <w:rPr/>
        <w:t xml:space="preserve"> </w:t>
      </w:r>
      <w:r>
        <w:rPr/>
        <w:t xml:space="preserve">(Приложение №3.1 к Договору) является твердой и составляет </w:t>
      </w:r>
      <w:r>
        <w:rPr>
          <w:u w:val="single"/>
        </w:rPr>
        <w:t xml:space="preserve">                                  </w:t>
      </w:r>
      <w:r>
        <w:rPr/>
        <w:t xml:space="preserve">  (</w:t>
      </w:r>
      <w:r>
        <w:rPr>
          <w:u w:val="single"/>
        </w:rPr>
        <w:t xml:space="preserve">                                           </w:t>
      </w:r>
      <w:r>
        <w:rPr/>
        <w:t xml:space="preserve">) рубля       копеек, в том числе НДС </w:t>
      </w:r>
      <w:r>
        <w:rPr>
          <w:u w:val="single"/>
        </w:rPr>
        <w:t xml:space="preserve">              </w:t>
      </w:r>
      <w:r>
        <w:rPr/>
        <w:t xml:space="preserve"> ( </w:t>
      </w:r>
      <w:r>
        <w:rPr>
          <w:u w:val="single"/>
        </w:rPr>
        <w:t xml:space="preserve">                                             </w:t>
      </w:r>
      <w:r>
        <w:rPr/>
        <w:t xml:space="preserve"> ) рублей </w:t>
      </w:r>
      <w:r>
        <w:rPr>
          <w:u w:val="single"/>
        </w:rPr>
        <w:t xml:space="preserve">    </w:t>
      </w:r>
      <w:r>
        <w:rPr/>
        <w:t xml:space="preserve"> копейки;</w:t>
      </w:r>
    </w:p>
    <w:p>
      <w:pPr>
        <w:pStyle w:val="16"/>
        <w:numPr>
          <w:ilvl w:val="0"/>
          <w:numId w:val="0"/>
        </w:numPr>
        <w:ind w:firstLine="567" w:left="142"/>
        <w:rPr/>
      </w:pPr>
      <w:r>
        <w:rPr/>
        <w:t>3.1.2.</w:t>
        <w:tab/>
        <w:t xml:space="preserve">Предельная цена Работ (без учёта Проектных работ) составляет </w:t>
      </w:r>
      <w:r>
        <w:rPr>
          <w:u w:val="single"/>
        </w:rPr>
        <w:t xml:space="preserve">                  </w:t>
      </w:r>
      <w:r>
        <w:rPr/>
        <w:t xml:space="preserve"> </w:t>
      </w:r>
      <w:r>
        <w:rPr>
          <w:bCs/>
        </w:rPr>
        <w:t>(</w:t>
      </w:r>
      <w:r>
        <w:rPr>
          <w:bCs/>
          <w:u w:val="single"/>
        </w:rPr>
        <w:t xml:space="preserve">                              </w:t>
      </w:r>
      <w:r>
        <w:rPr>
          <w:bCs/>
        </w:rPr>
        <w:t xml:space="preserve"> )</w:t>
      </w:r>
      <w:r>
        <w:rPr/>
        <w:t xml:space="preserve"> рублей     копейки, в том числе НДС </w:t>
      </w:r>
      <w:r>
        <w:rPr>
          <w:u w:val="single"/>
        </w:rPr>
        <w:t xml:space="preserve">          </w:t>
      </w:r>
      <w:r>
        <w:rPr/>
        <w:t xml:space="preserve"> (</w:t>
      </w:r>
      <w:r>
        <w:rPr>
          <w:u w:val="single"/>
        </w:rPr>
        <w:t xml:space="preserve">                            </w:t>
      </w:r>
      <w:r>
        <w:rPr/>
        <w:t xml:space="preserve"> ) рублей </w:t>
      </w:r>
      <w:r>
        <w:rPr>
          <w:u w:val="single"/>
        </w:rPr>
        <w:t xml:space="preserve">    </w:t>
      </w:r>
      <w:r>
        <w:rPr/>
        <w:t xml:space="preserve"> копеек.</w:t>
      </w:r>
    </w:p>
    <w:p>
      <w:pPr>
        <w:pStyle w:val="ListParagraph"/>
        <w:numPr>
          <w:ilvl w:val="1"/>
          <w:numId w:val="3"/>
        </w:numPr>
        <w:ind w:firstLine="709" w:left="0"/>
        <w:jc w:val="both"/>
        <w:rPr/>
      </w:pPr>
      <w:bookmarkStart w:id="14" w:name="_Ref361858588"/>
      <w:bookmarkStart w:id="15" w:name="_Ref361834675"/>
      <w:bookmarkEnd w:id="13"/>
      <w:bookmarkEnd w:id="14"/>
      <w:bookmarkEnd w:id="15"/>
      <w:r>
        <w:rPr>
          <w:bCs/>
        </w:rPr>
        <w:t xml:space="preserve">Локальные сметные расчеты, Ведомость объемов работ на выполнение СМР подлежат согласованию Сторонами в течении 30 (тридцати)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w:t>
      </w:r>
    </w:p>
    <w:p>
      <w:pPr>
        <w:pStyle w:val="ListParagraph"/>
        <w:numPr>
          <w:ilvl w:val="1"/>
          <w:numId w:val="3"/>
        </w:numPr>
        <w:ind w:firstLine="709" w:left="0"/>
        <w:jc w:val="both"/>
        <w:rPr/>
      </w:pPr>
      <w:r>
        <w:rPr>
          <w:bCs/>
        </w:rPr>
        <w:t>После согласования локальных сметных расчетов Стороны обязаны уточнить в пределах цены договора Сводный сметный расчет (Приложение № 3 к Договору) путем заключения дополнительного соглашения к Договору. В случае превышения стоимости Работ над ценой договора к стоимости работ по СМР применяется понижающий коэффициент.</w:t>
      </w:r>
    </w:p>
    <w:p>
      <w:pPr>
        <w:pStyle w:val="ListParagraph"/>
        <w:widowControl w:val="false"/>
        <w:numPr>
          <w:ilvl w:val="1"/>
          <w:numId w:val="3"/>
        </w:numPr>
        <w:tabs>
          <w:tab w:val="clear" w:pos="708"/>
          <w:tab w:val="left" w:pos="1134" w:leader="none"/>
        </w:tabs>
        <w:ind w:firstLine="709" w:left="0"/>
        <w:jc w:val="both"/>
        <w:rPr>
          <w:bCs/>
        </w:rPr>
      </w:pPr>
      <w:r>
        <w:rPr>
          <w:bCs/>
        </w:rPr>
        <w:t>Индексация Цены Договора не допускается.</w:t>
      </w:r>
    </w:p>
    <w:p>
      <w:pPr>
        <w:pStyle w:val="ListParagraph"/>
        <w:widowControl w:val="false"/>
        <w:numPr>
          <w:ilvl w:val="1"/>
          <w:numId w:val="3"/>
        </w:numPr>
        <w:tabs>
          <w:tab w:val="clear" w:pos="708"/>
          <w:tab w:val="left" w:pos="1134" w:leader="none"/>
        </w:tabs>
        <w:ind w:firstLine="710" w:left="0"/>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3"/>
        </w:numPr>
        <w:shd w:val="clear" w:color="auto" w:fill="FFFFFF"/>
        <w:tabs>
          <w:tab w:val="clear" w:pos="708"/>
          <w:tab w:val="left" w:pos="1418" w:leader="none"/>
        </w:tabs>
        <w:ind w:firstLine="709" w:left="0"/>
        <w:jc w:val="both"/>
        <w:rPr>
          <w:bCs/>
        </w:rPr>
      </w:pPr>
      <w:r>
        <w:rPr>
          <w:bCs/>
        </w:rPr>
        <w:t>Выполнение проектных работ;</w:t>
      </w:r>
    </w:p>
    <w:p>
      <w:pPr>
        <w:pStyle w:val="ListParagraph"/>
        <w:numPr>
          <w:ilvl w:val="2"/>
          <w:numId w:val="3"/>
        </w:numPr>
        <w:shd w:val="clear" w:color="auto" w:fill="FFFFFF"/>
        <w:tabs>
          <w:tab w:val="clear" w:pos="708"/>
          <w:tab w:val="left" w:pos="1418" w:leader="none"/>
        </w:tabs>
        <w:ind w:firstLine="709" w:left="0"/>
        <w:jc w:val="both"/>
        <w:rPr>
          <w:bCs/>
        </w:rPr>
      </w:pPr>
      <w:r>
        <w:rPr>
          <w:bCs/>
        </w:rPr>
        <w:t>Строительно-монтажные работы, контроль качества сварных стыков (подготовка поверхности сварного соединения и околошовной зоны, ультразвуковая дефектоскопия трубопровода);</w:t>
      </w:r>
    </w:p>
    <w:p>
      <w:pPr>
        <w:pStyle w:val="ListParagraph"/>
        <w:widowControl w:val="false"/>
        <w:numPr>
          <w:ilvl w:val="2"/>
          <w:numId w:val="3"/>
        </w:numPr>
        <w:tabs>
          <w:tab w:val="clear" w:pos="708"/>
          <w:tab w:val="left" w:pos="1418" w:leader="none"/>
        </w:tabs>
        <w:ind w:firstLine="709" w:left="0"/>
        <w:jc w:val="both"/>
        <w:rPr/>
      </w:pPr>
      <w:r>
        <w:rPr/>
        <w:t>Изготовление, приобретение материально-технических ресурсов, необходимых для выполнения Работ по Договору;</w:t>
      </w:r>
    </w:p>
    <w:p>
      <w:pPr>
        <w:pStyle w:val="ListParagraph"/>
        <w:numPr>
          <w:ilvl w:val="2"/>
          <w:numId w:val="3"/>
        </w:numPr>
        <w:shd w:val="clear" w:color="auto" w:fill="FFFFFF"/>
        <w:tabs>
          <w:tab w:val="clear" w:pos="708"/>
          <w:tab w:val="left" w:pos="1418" w:leader="none"/>
        </w:tabs>
        <w:ind w:firstLine="709" w:left="0"/>
        <w:jc w:val="both"/>
        <w:rPr/>
      </w:pPr>
      <w: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3"/>
        </w:numPr>
        <w:shd w:val="clear" w:color="auto" w:fill="FFFFFF"/>
        <w:tabs>
          <w:tab w:val="clear" w:pos="708"/>
          <w:tab w:val="left" w:pos="1418" w:leader="none"/>
        </w:tabs>
        <w:ind w:firstLine="709" w:left="0"/>
        <w:jc w:val="both"/>
        <w:rPr/>
      </w:pPr>
      <w:r>
        <w:rPr/>
        <w:t xml:space="preserve">Подлежащие уплате налоги, сборы и пошлины (в том числе по таможенному оформлению и Материально-технических ресурсов, если применимо). </w:t>
      </w:r>
    </w:p>
    <w:p>
      <w:pPr>
        <w:pStyle w:val="ListParagraph"/>
        <w:numPr>
          <w:ilvl w:val="2"/>
          <w:numId w:val="3"/>
        </w:numPr>
        <w:shd w:val="clear" w:color="auto" w:fill="FFFFFF"/>
        <w:tabs>
          <w:tab w:val="clear" w:pos="708"/>
          <w:tab w:val="left" w:pos="1418" w:leader="none"/>
        </w:tabs>
        <w:ind w:firstLine="709" w:left="0"/>
        <w:jc w:val="both"/>
        <w:rPr/>
      </w:pPr>
      <w:r>
        <w:rPr/>
        <w:t xml:space="preserve">Все прочие затраты и расходы Подрядчика, связанные выполнением Работ, поставкой Материалов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3"/>
        </w:numPr>
        <w:tabs>
          <w:tab w:val="clear" w:pos="708"/>
          <w:tab w:val="left" w:pos="1134" w:leader="none"/>
        </w:tabs>
        <w:rPr>
          <w:bCs/>
        </w:rPr>
      </w:pPr>
      <w:bookmarkStart w:id="16" w:name="_Ref361834251"/>
      <w:bookmarkStart w:id="17" w:name="_Ref361858588_Копия_1"/>
      <w:bookmarkStart w:id="18" w:name="_Ref361834675_Копия_1"/>
      <w:bookmarkEnd w:id="17"/>
      <w:bookmarkEnd w:id="18"/>
      <w:r>
        <w:rPr>
          <w:bCs/>
        </w:rPr>
        <w:t xml:space="preserve">Оплата по Договору осуществляется Заказчиком в следующем порядке: </w:t>
      </w:r>
    </w:p>
    <w:p>
      <w:pPr>
        <w:pStyle w:val="ListParagraph"/>
        <w:numPr>
          <w:ilvl w:val="2"/>
          <w:numId w:val="3"/>
        </w:numPr>
        <w:tabs>
          <w:tab w:val="clear" w:pos="708"/>
          <w:tab w:val="left" w:pos="1276" w:leader="none"/>
        </w:tabs>
        <w:spacing w:before="0" w:after="0"/>
        <w:ind w:firstLine="709" w:left="0"/>
        <w:contextualSpacing/>
        <w:jc w:val="both"/>
        <w:rPr>
          <w:bCs/>
          <w:sz w:val="24"/>
          <w:szCs w:val="24"/>
        </w:rPr>
      </w:pPr>
      <w:r>
        <w:rPr/>
        <w:t xml:space="preserve">Подрядчик не позднее, чем за 3 (три) рабочих дня до предполагаемой даты </w:t>
      </w:r>
      <w:r>
        <w:rPr>
          <w:sz w:val="24"/>
          <w:szCs w:val="24"/>
        </w:rPr>
        <w:t>выплаты авансового платежа, обязан предоставить Заказчику Независимую гарантию надлежащего исполнения Договора в размере авансового платежа соответствующую требованиям, установленным разделом 6 Договора.</w:t>
      </w:r>
      <w:r>
        <w:rPr>
          <w:bCs/>
          <w:sz w:val="24"/>
          <w:szCs w:val="24"/>
        </w:rPr>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pPr>
        <w:pStyle w:val="ListParagraph"/>
        <w:numPr>
          <w:ilvl w:val="2"/>
          <w:numId w:val="3"/>
        </w:numPr>
        <w:tabs>
          <w:tab w:val="clear" w:pos="708"/>
          <w:tab w:val="left" w:pos="1276" w:leader="none"/>
        </w:tabs>
        <w:spacing w:before="0" w:after="0"/>
        <w:ind w:firstLine="709" w:left="0"/>
        <w:contextualSpacing/>
        <w:jc w:val="both"/>
        <w:rPr>
          <w:highlight w:val="white"/>
        </w:rPr>
      </w:pPr>
      <w:r>
        <w:rPr>
          <w:bCs/>
        </w:rPr>
        <w:t xml:space="preserve"> </w:t>
      </w:r>
      <w:r>
        <w:rPr>
          <w:bCs/>
        </w:rPr>
        <w:t xml:space="preserve">Заказчик </w:t>
      </w:r>
      <w:r>
        <w:rPr/>
        <w:t>производит предварительную оплату (авансирование) в размере 10 % (десяти процентов)  от стоимости каждого этапа работ по Договору (за исключением непредвиденных работ и затрат), в течение 30-ти (тридцати) календарных дней с даты получения заказчиком счета, но не ранее, чем за 30 (тридцать) календарных дней до даты начала выполнения каждого этапа Работ, определенной в соответствии с  Граф</w:t>
      </w:r>
      <w:r>
        <w:rPr>
          <w:highlight w:val="white"/>
        </w:rPr>
        <w:t>иком производства и финансирования работ (Приложение № 2 к Договору)  и с учетом пункта 3.6.1, 3.6.5 Договор</w:t>
      </w:r>
      <w:r>
        <w:rPr>
          <w:bCs/>
          <w:highlight w:val="white"/>
        </w:rPr>
        <w:t>а.</w:t>
      </w:r>
    </w:p>
    <w:p>
      <w:pPr>
        <w:pStyle w:val="ListParagraph"/>
        <w:numPr>
          <w:ilvl w:val="2"/>
          <w:numId w:val="3"/>
        </w:numPr>
        <w:tabs>
          <w:tab w:val="clear" w:pos="708"/>
          <w:tab w:val="left" w:pos="1276" w:leader="none"/>
        </w:tabs>
        <w:spacing w:before="0" w:after="0"/>
        <w:ind w:firstLine="709" w:left="0"/>
        <w:contextualSpacing/>
        <w:jc w:val="both"/>
        <w:rPr/>
      </w:pPr>
      <w:r>
        <w:rPr/>
        <w:t xml:space="preserve"> </w:t>
      </w:r>
      <w:r>
        <w:rPr/>
        <w:t xml:space="preserve">Последующие платежи в  размере  90 (девяносто) процентов от стоимости каждого этапа работ по Договору выплачиваются  в  течение  7  (семи)  рабочих  дней с даты подписания Сторонами документов, указанных в пункте 4.1, 4.2 Договора, на основании счёта, выставленного Подрядчиком (по форме Приложение №16), и с учетом пунктов 3.6.4, 3.6.5 Договора.  </w:t>
      </w:r>
    </w:p>
    <w:p>
      <w:pPr>
        <w:pStyle w:val="ListParagraph"/>
        <w:numPr>
          <w:ilvl w:val="0"/>
          <w:numId w:val="0"/>
        </w:numPr>
        <w:tabs>
          <w:tab w:val="clear" w:pos="708"/>
          <w:tab w:val="left" w:pos="1276" w:leader="none"/>
        </w:tabs>
        <w:spacing w:before="0" w:after="0"/>
        <w:ind w:hanging="0" w:left="0"/>
        <w:contextualSpacing/>
        <w:jc w:val="both"/>
        <w:rPr>
          <w:highlight w:val="none"/>
          <w:shd w:fill="auto" w:val="clear"/>
        </w:rPr>
      </w:pPr>
      <w:r>
        <w:rPr>
          <w:shd w:fill="auto" w:val="clear"/>
        </w:rPr>
        <w:t xml:space="preserve">                 </w:t>
      </w:r>
      <w:r>
        <w:rPr>
          <w:shd w:fill="auto" w:val="clear"/>
        </w:rPr>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ListParagraph"/>
        <w:numPr>
          <w:ilvl w:val="2"/>
          <w:numId w:val="3"/>
        </w:numPr>
        <w:tabs>
          <w:tab w:val="clear" w:pos="708"/>
          <w:tab w:val="left" w:pos="1276" w:leader="none"/>
        </w:tabs>
        <w:spacing w:before="0" w:after="0"/>
        <w:ind w:firstLine="709" w:left="0"/>
        <w:contextualSpacing/>
        <w:jc w:val="both"/>
        <w:rPr>
          <w:highlight w:val="none"/>
          <w:shd w:fill="auto" w:val="clear"/>
        </w:rPr>
      </w:pPr>
      <w:r>
        <w:rPr>
          <w:shd w:fill="auto" w:val="clear"/>
        </w:rPr>
        <w:t>В случае отказа Подрядчика от выплаты аванса, о чем он должен письменно уведомить Заказчика, Подрядчик предоставляет Заказчику Независимую гарантию надлежащего исполнения договора в размере 5% (пять процентов) от цены Договора не позднее, чем за 3 (три) рабочих дня до предполагаемой даты выплаты первого платежа по Договору, соответствующую требованиям, установленным разделом 6 Договора. В случае невыполнения данного обязательства и при отсутствии соглашения Сторон об ином Заказчик вправе удерживать 5% (пять процентов) от цены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pPr>
        <w:pStyle w:val="ListParagraph"/>
        <w:tabs>
          <w:tab w:val="clear" w:pos="708"/>
          <w:tab w:val="left" w:pos="1276" w:leader="none"/>
          <w:tab w:val="left" w:pos="1418" w:leader="none"/>
        </w:tabs>
        <w:ind w:firstLine="709" w:left="0"/>
        <w:jc w:val="both"/>
        <w:rPr>
          <w:highlight w:val="none"/>
          <w:shd w:fill="auto" w:val="clear"/>
        </w:rPr>
      </w:pPr>
      <w:r>
        <w:rPr>
          <w:shd w:fill="auto" w:val="clear"/>
        </w:rPr>
        <w:t xml:space="preserve">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(Приложение №15).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pPr>
        <w:pStyle w:val="Normal"/>
        <w:tabs>
          <w:tab w:val="clear" w:pos="708"/>
          <w:tab w:val="left" w:pos="1418" w:leader="none"/>
        </w:tabs>
        <w:spacing w:lineRule="auto" w:line="240"/>
        <w:ind w:firstLine="709" w:left="0" w:right="0"/>
        <w:jc w:val="both"/>
        <w:rPr>
          <w:highlight w:val="none"/>
          <w:shd w:fill="auto" w:val="clear"/>
        </w:rPr>
      </w:pPr>
      <w:r>
        <w:rPr>
          <w:sz w:val="24"/>
          <w:szCs w:val="24"/>
          <w:shd w:fill="auto" w:val="clear"/>
        </w:rPr>
        <w:t>Любое требование Подрядчика о выплате Обеспечительного платежа до наступления установленного Договором срока не подлежит удовлетворению.</w:t>
      </w:r>
    </w:p>
    <w:p>
      <w:pPr>
        <w:pStyle w:val="ListParagraph"/>
        <w:numPr>
          <w:ilvl w:val="2"/>
          <w:numId w:val="3"/>
        </w:numPr>
        <w:tabs>
          <w:tab w:val="clear" w:pos="708"/>
          <w:tab w:val="left" w:pos="1418" w:leader="none"/>
        </w:tabs>
        <w:ind w:firstLine="709" w:left="0"/>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widowControl/>
        <w:numPr>
          <w:ilvl w:val="0"/>
          <w:numId w:val="0"/>
        </w:numPr>
        <w:tabs>
          <w:tab w:val="clear" w:pos="708"/>
          <w:tab w:val="left" w:pos="1418" w:leader="none"/>
        </w:tabs>
        <w:spacing w:lineRule="auto" w:line="240" w:before="0" w:after="0"/>
        <w:ind w:hanging="0" w:left="0" w:right="0"/>
        <w:contextualSpacing/>
        <w:jc w:val="both"/>
        <w:rPr>
          <w:sz w:val="24"/>
          <w:szCs w:val="24"/>
        </w:rPr>
      </w:pPr>
      <w:r>
        <w:rPr/>
        <w:t xml:space="preserve">       </w:t>
      </w:r>
      <w:r>
        <w:rPr/>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w:t>
      </w:r>
      <w:r>
        <w:rPr>
          <w:sz w:val="24"/>
          <w:szCs w:val="24"/>
        </w:rPr>
        <w:t>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3"/>
        </w:numPr>
        <w:tabs>
          <w:tab w:val="clear" w:pos="708"/>
          <w:tab w:val="left" w:pos="1418" w:leader="none"/>
        </w:tabs>
        <w:ind w:firstLine="709" w:left="0"/>
        <w:jc w:val="both"/>
        <w:rPr/>
      </w:pPr>
      <w:r>
        <w:rPr>
          <w:sz w:val="24"/>
          <w:szCs w:val="24"/>
        </w:rPr>
        <w:t>В период действия Договора Под</w:t>
      </w:r>
      <w:r>
        <w:rPr/>
        <w:t>рядчик вправе предоставить Заказчику Независимую гарантию в обеспечение надлежащего исполнения обязательств по Договору, отвечающую требованиям, указанным в разделе 6 Договора, на сумму не менее 5 (пяти) % от Цены Договора. В течении 30 (тридцати) календарных дней после принятия Заказчиком Независимой гарантии надлежащего исполнения обязательств по Договору Подрядчику выплачивается часть Обеспечительного платежа, фактически удержанного Заказчиком на дату предоставления независимой гарантии надлежащего исполнения обязательств по Договору на основании счета, выставленного Подрядчиком.</w:t>
      </w:r>
    </w:p>
    <w:p>
      <w:pPr>
        <w:pStyle w:val="ListParagraph"/>
        <w:numPr>
          <w:ilvl w:val="1"/>
          <w:numId w:val="3"/>
        </w:numPr>
        <w:tabs>
          <w:tab w:val="clear" w:pos="708"/>
          <w:tab w:val="left" w:pos="1134" w:leader="none"/>
        </w:tabs>
        <w:ind w:firstLine="709" w:left="0"/>
        <w:jc w:val="both"/>
        <w:rPr>
          <w:bCs/>
        </w:rPr>
      </w:pPr>
      <w:r>
        <w:rPr>
          <w:bCs/>
        </w:rPr>
        <w:t>Расчеты по Договору осуществляются в валюте Российской Федерации. Оплата производи</w:t>
      </w:r>
      <w:r>
        <w:rPr>
          <w:bCs/>
          <w:highlight w:val="white"/>
        </w:rPr>
        <w:t xml:space="preserve">тся Заказчиком путем перечисления </w:t>
      </w:r>
      <w:r>
        <w:rPr>
          <w:bCs/>
        </w:rPr>
        <w:t>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3"/>
        </w:numPr>
        <w:tabs>
          <w:tab w:val="clear" w:pos="708"/>
          <w:tab w:val="left" w:pos="1134" w:leader="none"/>
        </w:tabs>
        <w:ind w:firstLine="709" w:left="0"/>
        <w:jc w:val="both"/>
        <w:rPr>
          <w:bCs/>
        </w:rPr>
      </w:pPr>
      <w:bookmarkStart w:id="19" w:name="_Ref361336647"/>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tabs>
          <w:tab w:val="clear" w:pos="708"/>
          <w:tab w:val="left" w:pos="1134" w:leader="none"/>
        </w:tabs>
        <w:ind w:firstLine="709" w:left="0"/>
        <w:jc w:val="both"/>
        <w:rPr>
          <w:bCs/>
        </w:rPr>
      </w:pPr>
      <w:r>
        <w:rPr/>
        <w:t>Заказчик направляет Подрядчику уведомление о проведении сальдо взаимных обязательств Сторон по Договору.</w:t>
      </w:r>
    </w:p>
    <w:p>
      <w:pPr>
        <w:pStyle w:val="ListParagraph"/>
        <w:numPr>
          <w:ilvl w:val="1"/>
          <w:numId w:val="3"/>
        </w:numPr>
        <w:tabs>
          <w:tab w:val="clear" w:pos="708"/>
          <w:tab w:val="left" w:pos="1134" w:leader="none"/>
        </w:tabs>
        <w:ind w:firstLine="709" w:left="0"/>
        <w:jc w:val="both"/>
        <w:rPr>
          <w:bCs/>
        </w:rPr>
      </w:pPr>
      <w:bookmarkStart w:id="20" w:name="_Ref361834206"/>
      <w:r>
        <w:rPr>
          <w:bCs/>
        </w:rPr>
        <w:t>Если изменения, указанные в пункт</w:t>
      </w:r>
      <w:r>
        <w:rPr>
          <w:bCs/>
          <w:highlight w:val="white"/>
        </w:rPr>
        <w:t xml:space="preserve">е 2.2.5 </w:t>
      </w:r>
      <w:r>
        <w:rPr>
          <w:bCs/>
        </w:rPr>
        <w:t>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9"/>
      <w:bookmarkEnd w:id="20"/>
    </w:p>
    <w:p>
      <w:pPr>
        <w:pStyle w:val="ListParagraph"/>
        <w:numPr>
          <w:ilvl w:val="1"/>
          <w:numId w:val="3"/>
        </w:numPr>
        <w:tabs>
          <w:tab w:val="clear" w:pos="708"/>
          <w:tab w:val="left" w:pos="1134" w:leader="none"/>
        </w:tabs>
        <w:ind w:firstLine="709" w:left="0"/>
        <w:jc w:val="both"/>
        <w:rPr>
          <w:bCs/>
        </w:rPr>
      </w:pPr>
      <w:r>
        <w:rPr>
          <w:bCs/>
        </w:rPr>
        <w:t xml:space="preserve">За исключением случая, указанного в пункте 3.8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3"/>
        </w:numPr>
        <w:tabs>
          <w:tab w:val="clear" w:pos="708"/>
          <w:tab w:val="left" w:pos="1134" w:leader="none"/>
        </w:tabs>
        <w:ind w:firstLine="709" w:left="0"/>
        <w:jc w:val="both"/>
        <w:rPr>
          <w:bCs/>
        </w:rPr>
      </w:pPr>
      <w:r>
        <w:rPr/>
        <w:t>Оплата непредвиденных работ и затрат осуществляется Заказчиком в следующем порядке</w:t>
      </w:r>
      <w:r>
        <w:rPr>
          <w:bCs/>
        </w:rPr>
        <w:t>:</w:t>
      </w:r>
    </w:p>
    <w:p>
      <w:pPr>
        <w:pStyle w:val="ListParagraph"/>
        <w:numPr>
          <w:ilvl w:val="2"/>
          <w:numId w:val="3"/>
        </w:numPr>
        <w:tabs>
          <w:tab w:val="clear" w:pos="708"/>
          <w:tab w:val="left" w:pos="1418" w:leader="none"/>
        </w:tabs>
        <w:ind w:firstLine="709" w:left="0"/>
        <w:jc w:val="both"/>
        <w:rPr/>
      </w:pPr>
      <w:r>
        <w:rP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w:t>
      </w:r>
      <w:r>
        <w:rPr>
          <w:highlight w:val="white"/>
        </w:rPr>
        <w:t xml:space="preserve">м 4.2 </w:t>
      </w:r>
      <w:r>
        <w:rPr/>
        <w:t>Договора. Оплата непредвиденных работ и затрат производится Заказчиком в течение 7 (семи) рабочих дней,</w:t>
      </w:r>
      <w:r>
        <w:rPr>
          <w:sz w:val="28"/>
          <w:szCs w:val="28"/>
        </w:rPr>
        <w:t xml:space="preserve"> </w:t>
      </w:r>
      <w:r>
        <w:rPr/>
        <w:t xml:space="preserve">с даты подписания Акта освидетельствования выполненных работ, на основании счета, выставленного Подрядчиком. Стоимость непредвиденных работ и затрат включается в </w:t>
      </w:r>
      <w:r>
        <w:rPr>
          <w:bCs/>
        </w:rPr>
        <w:t>общую сумму Акта КС-2</w:t>
      </w:r>
      <w:r>
        <w:rPr>
          <w:bCs/>
          <w:highlight w:val="white"/>
        </w:rPr>
        <w:t xml:space="preserve"> (Приложение №13),</w:t>
      </w:r>
      <w:r>
        <w:rPr>
          <w:bCs/>
        </w:rPr>
        <w:t xml:space="preserve"> подписываемого Сторонами в соответствии с пунктом 4.4 Договора.</w:t>
      </w:r>
    </w:p>
    <w:p>
      <w:pPr>
        <w:pStyle w:val="ListParagraph"/>
        <w:numPr>
          <w:ilvl w:val="2"/>
          <w:numId w:val="3"/>
        </w:numPr>
        <w:tabs>
          <w:tab w:val="clear" w:pos="708"/>
          <w:tab w:val="left" w:pos="1418" w:leader="none"/>
        </w:tabs>
        <w:ind w:firstLine="709" w:left="0"/>
        <w:jc w:val="both"/>
        <w:rPr/>
      </w:pPr>
      <w:r>
        <w:rPr/>
        <w:t>Ценообразующие факторы смет на непредвиденные работы аналогичны учтенным в сметах на выполнение СМР, включая понижающие коэффициенты, включенные в сметы по результатам проведения конкурентных процедур.</w:t>
      </w:r>
    </w:p>
    <w:p>
      <w:pPr>
        <w:pStyle w:val="ListParagraph"/>
        <w:numPr>
          <w:ilvl w:val="1"/>
          <w:numId w:val="3"/>
        </w:numPr>
        <w:tabs>
          <w:tab w:val="clear" w:pos="708"/>
          <w:tab w:val="left" w:pos="1134" w:leader="none"/>
        </w:tabs>
        <w:ind w:firstLine="709" w:left="0"/>
        <w:jc w:val="both"/>
        <w:rPr>
          <w:bCs/>
        </w:rPr>
      </w:pPr>
      <w:r>
        <w:rPr/>
        <w:t>Затраты на командировочные расходы на стадии выполнения, определяются по фактическим затратам в пределах учтенной в смете величины, с учетом суточных в размере 700 рублей в сутки.</w:t>
      </w:r>
    </w:p>
    <w:p>
      <w:pPr>
        <w:pStyle w:val="ListParagraph"/>
        <w:shd w:val="clear" w:color="auto" w:fill="FFFFFF"/>
        <w:ind w:firstLine="708" w:left="0"/>
        <w:jc w:val="both"/>
        <w:rPr>
          <w:bCs/>
        </w:rPr>
      </w:pPr>
      <w:r>
        <w:rPr>
          <w:bCs/>
        </w:rPr>
        <w:t>Командировочные расходы включаются в стоимость Работ в соответствии с расчетом, прилагаемым к Сводному сметному расчету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Работ. Подрядчик обязан представлять по запросу Заказчика копии следующих документов, заверенных Подрядчиком: приказ о командировке, проездные билеты, счета на оплату за проживание в гостинице и авансовые отчеты.</w:t>
      </w:r>
    </w:p>
    <w:p>
      <w:pPr>
        <w:pStyle w:val="ListParagraph"/>
        <w:numPr>
          <w:ilvl w:val="1"/>
          <w:numId w:val="3"/>
        </w:numPr>
        <w:shd w:val="clear" w:color="auto" w:fill="FFFFFF"/>
        <w:tabs>
          <w:tab w:val="clear" w:pos="708"/>
          <w:tab w:val="left" w:pos="1418" w:leader="none"/>
        </w:tabs>
        <w:ind w:firstLine="709" w:left="0"/>
        <w:jc w:val="both"/>
        <w:rPr>
          <w:highlight w:val="white"/>
        </w:rPr>
      </w:pPr>
      <w:r>
        <w:rPr>
          <w:bCs/>
        </w:rPr>
        <w:t>Расходы за утилизацию строительного мусора принимается на основании пред</w:t>
      </w:r>
      <w:r>
        <w:rPr>
          <w:bCs/>
          <w:highlight w:val="white"/>
        </w:rPr>
        <w:t>ставленных в составе исполнительной документации отчетных документов (договоров со сторонними организациями на оказание услуг по утилизации мусора, талонов или иных действующих в муниципальном образовании документов на утилизацию) пределах учтенной в смете суммы.</w:t>
      </w:r>
      <w:bookmarkEnd w:id="16"/>
    </w:p>
    <w:p>
      <w:pPr>
        <w:pStyle w:val="ListParagraph"/>
        <w:tabs>
          <w:tab w:val="clear" w:pos="708"/>
          <w:tab w:val="left" w:pos="1134" w:leader="none"/>
        </w:tabs>
        <w:ind w:hanging="0" w:left="709"/>
        <w:jc w:val="both"/>
        <w:rPr>
          <w:bCs/>
          <w:highlight w:val="white"/>
        </w:rPr>
      </w:pPr>
      <w:r>
        <w:rPr>
          <w:bCs/>
          <w:highlight w:val="white"/>
        </w:rPr>
      </w:r>
    </w:p>
    <w:p>
      <w:pPr>
        <w:pStyle w:val="ListParagraph"/>
        <w:numPr>
          <w:ilvl w:val="0"/>
          <w:numId w:val="3"/>
        </w:numPr>
        <w:tabs>
          <w:tab w:val="clear" w:pos="708"/>
          <w:tab w:val="left" w:pos="284" w:leader="none"/>
        </w:tabs>
        <w:ind w:hanging="0" w:left="0"/>
        <w:jc w:val="center"/>
        <w:rPr>
          <w:b/>
          <w:bCs/>
          <w:highlight w:val="white"/>
        </w:rPr>
      </w:pPr>
      <w:r>
        <w:rPr>
          <w:b/>
          <w:bCs/>
          <w:highlight w:val="white"/>
        </w:rPr>
        <w:t>Порядок сдачи-приемки Работ</w:t>
      </w:r>
    </w:p>
    <w:p>
      <w:pPr>
        <w:pStyle w:val="Normal"/>
        <w:widowControl w:val="false"/>
        <w:tabs>
          <w:tab w:val="clear" w:pos="708"/>
          <w:tab w:val="left" w:pos="709" w:leader="none"/>
          <w:tab w:val="left" w:pos="1134" w:leader="none"/>
        </w:tabs>
        <w:spacing w:lineRule="auto" w:line="240"/>
        <w:ind w:hanging="0" w:left="709"/>
        <w:jc w:val="both"/>
        <w:rPr>
          <w:sz w:val="24"/>
          <w:szCs w:val="24"/>
        </w:rPr>
      </w:pPr>
      <w:r>
        <w:rPr>
          <w:sz w:val="24"/>
          <w:szCs w:val="24"/>
        </w:rPr>
        <w:t xml:space="preserve">4.1.  </w:t>
      </w:r>
      <w:bookmarkStart w:id="21" w:name="_Ref361336754"/>
      <w:bookmarkStart w:id="22" w:name="_Ref373242517"/>
      <w:bookmarkStart w:id="23" w:name="_Ref361335138"/>
      <w:r>
        <w:rPr>
          <w:bCs/>
          <w:sz w:val="24"/>
          <w:szCs w:val="24"/>
          <w:highlight w:val="white"/>
        </w:rPr>
        <w:t xml:space="preserve"> По    завершении    выпол</w:t>
      </w:r>
      <w:r>
        <w:rPr>
          <w:bCs/>
          <w:sz w:val="24"/>
          <w:szCs w:val="24"/>
        </w:rPr>
        <w:t>нения    1-го    Этапа    работ    (разработка    проектной</w:t>
      </w:r>
    </w:p>
    <w:p>
      <w:pPr>
        <w:pStyle w:val="Normal"/>
        <w:widowControl w:val="false"/>
        <w:tabs>
          <w:tab w:val="clear" w:pos="708"/>
          <w:tab w:val="left" w:pos="709" w:leader="none"/>
          <w:tab w:val="left" w:pos="1134" w:leader="none"/>
        </w:tabs>
        <w:spacing w:lineRule="auto" w:line="240"/>
        <w:ind w:hanging="0" w:left="0"/>
        <w:jc w:val="both"/>
        <w:rPr/>
      </w:pPr>
      <w:r>
        <w:rPr>
          <w:bCs/>
          <w:sz w:val="24"/>
          <w:szCs w:val="24"/>
        </w:rPr>
        <w:t>документации включая сметную)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w:t>
      </w:r>
      <w:r>
        <w:rPr>
          <w:bCs/>
          <w:sz w:val="24"/>
          <w:szCs w:val="24"/>
          <w:highlight w:val="white"/>
        </w:rPr>
        <w:t xml:space="preserve">жения № 9 </w:t>
      </w:r>
      <w:r>
        <w:rPr>
          <w:bCs/>
          <w:sz w:val="24"/>
          <w:szCs w:val="24"/>
        </w:rPr>
        <w:t>к Договору с приложением результата Проектных работ. Датой выполнения Проектных работ является дата подписания Сторонами Акта сдачи-приемки Проектных работ.</w:t>
        <w:tab/>
      </w:r>
    </w:p>
    <w:p>
      <w:pPr>
        <w:pStyle w:val="ListParagraph"/>
        <w:widowControl w:val="false"/>
        <w:ind w:firstLine="709" w:left="0"/>
        <w:jc w:val="both"/>
        <w:rPr>
          <w:bCs/>
          <w:color w:themeColor="background1" w:val="FFFFFF"/>
        </w:rPr>
      </w:pPr>
      <w:r>
        <w:rPr>
          <w:bCs/>
        </w:rPr>
        <w:t>Заказчик в течение 10 (десяти) рабочих дней со дня получения Акта сдачи-приемки Проектных работ обязан направить Подрядчику подписанный Акт сдачи-приемки Проектных работ, либо письменный мотивированный отказ от приемки Проектных работ (далее – «Ведомость замечаний»), в котором отражает недостатки Проектных работ, а также срок на их устранение.</w:t>
      </w:r>
      <w:r>
        <w:rPr>
          <w:bCs/>
          <w:color w:themeColor="background1" w:val="FFFFFF"/>
        </w:rPr>
        <w:t xml:space="preserve">………………………………………………………………………. </w:t>
      </w:r>
      <w:r>
        <w:rPr>
          <w:bCs/>
        </w:rPr>
        <w:t xml:space="preserve">       </w:t>
      </w:r>
    </w:p>
    <w:p>
      <w:pPr>
        <w:pStyle w:val="ListParagraph"/>
        <w:widowControl w:val="false"/>
        <w:numPr>
          <w:ilvl w:val="1"/>
          <w:numId w:val="3"/>
        </w:numPr>
        <w:tabs>
          <w:tab w:val="clear" w:pos="708"/>
          <w:tab w:val="left" w:pos="0" w:leader="none"/>
          <w:tab w:val="left" w:pos="709" w:leader="none"/>
        </w:tabs>
        <w:ind w:firstLine="710" w:left="0"/>
        <w:jc w:val="both"/>
        <w:rPr>
          <w:bCs/>
        </w:rPr>
      </w:pPr>
      <w:r>
        <w:rPr>
          <w:bCs/>
        </w:rPr>
        <w:t>По завершении выполнения промежуточных (ежемесячных) объемов работ по 2-му этапу, Подрядчик в срок до 25 (двадцать пятого) числа текущего месяца, представляет Заказчику подписанный со своей стороны в 2 (двух) экземплярах Акт освидетельствования выполненных работ по форме Приложе</w:t>
      </w:r>
      <w:r>
        <w:rPr>
          <w:bCs/>
          <w:highlight w:val="white"/>
        </w:rPr>
        <w:t>ния № 1</w:t>
      </w:r>
      <w:r>
        <w:rPr>
          <w:bCs/>
        </w:rPr>
        <w:t>1 к Договору,</w:t>
      </w:r>
      <w:r>
        <w:rPr/>
        <w:t xml:space="preserve"> </w:t>
      </w:r>
      <w:r>
        <w:rPr>
          <w:bCs/>
        </w:rPr>
        <w:t xml:space="preserve">с приложением Приемо-сдаточной и Исполнительной документации </w:t>
      </w:r>
      <w:r>
        <w:rPr/>
        <w:t>в 3 (трех) экземплярах</w:t>
      </w:r>
      <w:bookmarkEnd w:id="21"/>
      <w:bookmarkEnd w:id="22"/>
      <w:bookmarkEnd w:id="23"/>
      <w:r>
        <w:rPr>
          <w:sz w:val="28"/>
          <w:szCs w:val="28"/>
        </w:rPr>
        <w:t xml:space="preserve"> </w:t>
      </w:r>
      <w:r>
        <w:rPr/>
        <w:t xml:space="preserve">на бумажном носителе и  электронном виде в формате </w:t>
      </w:r>
      <w:r>
        <w:rPr>
          <w:lang w:val="en-US"/>
        </w:rPr>
        <w:t>pdf</w:t>
      </w:r>
      <w:r>
        <w:rPr/>
        <w:t>, размещаемой на сетевом ресурсе в соответствии с Прило</w:t>
      </w:r>
      <w:r>
        <w:rPr>
          <w:highlight w:val="white"/>
        </w:rPr>
        <w:t xml:space="preserve">жением № 19 </w:t>
      </w:r>
      <w:r>
        <w:rPr/>
        <w:t xml:space="preserve">Договора, а также </w:t>
      </w:r>
      <w:r>
        <w:rPr>
          <w:bCs/>
        </w:rPr>
        <w:t>материального отчета (форма М-29).</w:t>
      </w:r>
    </w:p>
    <w:p>
      <w:pPr>
        <w:pStyle w:val="ListParagraph"/>
        <w:widowControl w:val="false"/>
        <w:tabs>
          <w:tab w:val="clear" w:pos="708"/>
          <w:tab w:val="left" w:pos="0" w:leader="none"/>
        </w:tabs>
        <w:ind w:firstLine="710" w:left="0"/>
        <w:jc w:val="both"/>
        <w:rPr>
          <w:bCs/>
        </w:rPr>
      </w:pPr>
      <w:r>
        <w:rPr>
          <w:bCs/>
        </w:rPr>
        <w:t>Акты освидетельствования, подтверждающие выполнение промежуточных работ для проведения расчетов, не являются документами, с которыми закон связывает переход права собственности и рисков случайной гибели на Заказчика.</w:t>
        <w:tab/>
        <w:br/>
        <w:t xml:space="preserve">           Приемка выполненных Работ осуществляется только при предоставлении Подрядчиком Заказчику подтверждающего комплекта документации:</w:t>
      </w:r>
    </w:p>
    <w:p>
      <w:pPr>
        <w:pStyle w:val="ListParagraph"/>
        <w:numPr>
          <w:ilvl w:val="1"/>
          <w:numId w:val="20"/>
        </w:numPr>
        <w:tabs>
          <w:tab w:val="clear" w:pos="708"/>
          <w:tab w:val="left" w:pos="709" w:leader="none"/>
        </w:tabs>
        <w:ind w:firstLine="709" w:left="0"/>
        <w:jc w:val="both"/>
        <w:rPr>
          <w:bCs/>
        </w:rPr>
      </w:pPr>
      <w:r>
        <w:rPr>
          <w:bCs/>
        </w:rPr>
        <w:t>комплект Исполнительной документации;</w:t>
      </w:r>
    </w:p>
    <w:p>
      <w:pPr>
        <w:pStyle w:val="ListParagraph"/>
        <w:numPr>
          <w:ilvl w:val="1"/>
          <w:numId w:val="20"/>
        </w:numPr>
        <w:tabs>
          <w:tab w:val="clear" w:pos="708"/>
          <w:tab w:val="left" w:pos="709" w:leader="none"/>
        </w:tabs>
        <w:ind w:firstLine="709" w:left="0"/>
        <w:jc w:val="both"/>
        <w:rPr>
          <w:bCs/>
        </w:rPr>
      </w:pPr>
      <w:r>
        <w:rPr>
          <w:bCs/>
        </w:rPr>
        <w:t>журнал учета выполненных работ по форме КС-ба;</w:t>
      </w:r>
    </w:p>
    <w:p>
      <w:pPr>
        <w:pStyle w:val="ListParagraph"/>
        <w:numPr>
          <w:ilvl w:val="1"/>
          <w:numId w:val="20"/>
        </w:numPr>
        <w:tabs>
          <w:tab w:val="clear" w:pos="708"/>
          <w:tab w:val="left" w:pos="709" w:leader="none"/>
        </w:tabs>
        <w:ind w:firstLine="709" w:left="0"/>
        <w:jc w:val="both"/>
        <w:rPr>
          <w:bCs/>
        </w:rPr>
      </w:pPr>
      <w:r>
        <w:rPr>
          <w:bCs/>
        </w:rPr>
        <w:t>реестр Актов освидетельствования выполненных работ за отчетный период;</w:t>
      </w:r>
    </w:p>
    <w:p>
      <w:pPr>
        <w:pStyle w:val="ListParagraph"/>
        <w:numPr>
          <w:ilvl w:val="1"/>
          <w:numId w:val="20"/>
        </w:numPr>
        <w:tabs>
          <w:tab w:val="clear" w:pos="708"/>
          <w:tab w:val="left" w:pos="709" w:leader="none"/>
        </w:tabs>
        <w:ind w:firstLine="709" w:left="0"/>
        <w:jc w:val="both"/>
        <w:rPr>
          <w:bCs/>
        </w:rPr>
      </w:pPr>
      <w:r>
        <w:rPr>
          <w:bCs/>
        </w:rPr>
        <w:t>накопительная ведомость выполненных работ с начала проведения работ по отчетный период включительно.</w:t>
        <w:tab/>
      </w:r>
    </w:p>
    <w:p>
      <w:pPr>
        <w:pStyle w:val="Normal"/>
        <w:spacing w:lineRule="auto" w:line="240"/>
        <w:ind w:firstLine="709"/>
        <w:rPr>
          <w:bCs/>
          <w:sz w:val="24"/>
          <w:szCs w:val="24"/>
        </w:rPr>
      </w:pPr>
      <w:r>
        <w:rPr>
          <w:bCs/>
          <w:sz w:val="24"/>
          <w:szCs w:val="24"/>
        </w:rPr>
        <w:t>В случае, если Подрядчиком представлена исполнительная документация ненадлежащей формы, либо не в полном объеме, то считается, что такая документация Заказчику не передана. Отсутствие исполнительной документации является основанием для отказа приемки работ Заказчиком и подписания</w:t>
      </w:r>
      <w:r>
        <w:rPr/>
        <w:t xml:space="preserve"> </w:t>
      </w:r>
      <w:r>
        <w:rPr>
          <w:bCs/>
          <w:sz w:val="24"/>
          <w:szCs w:val="24"/>
        </w:rPr>
        <w:t>Акта освидетельствования выполненных работ.</w:t>
      </w:r>
      <w:r>
        <w:rPr>
          <w:bCs/>
        </w:rPr>
        <w:tab/>
      </w:r>
    </w:p>
    <w:p>
      <w:pPr>
        <w:pStyle w:val="ListParagraph"/>
        <w:numPr>
          <w:ilvl w:val="1"/>
          <w:numId w:val="3"/>
        </w:numPr>
        <w:tabs>
          <w:tab w:val="clear" w:pos="708"/>
          <w:tab w:val="left" w:pos="1134" w:leader="none"/>
        </w:tabs>
        <w:ind w:firstLine="709" w:left="0"/>
        <w:jc w:val="both"/>
        <w:rPr/>
      </w:pPr>
      <w:r>
        <w:rPr>
          <w:bCs/>
        </w:rPr>
        <w:t>По завершении выполнения строительно-монтажных работ, Подрядчик в течение 3 (трех) рабочих дней представляет Заказчику подписанные со своей стороны:</w:t>
      </w:r>
    </w:p>
    <w:p>
      <w:pPr>
        <w:pStyle w:val="ListParagraph"/>
        <w:numPr>
          <w:ilvl w:val="0"/>
          <w:numId w:val="16"/>
        </w:numPr>
        <w:tabs>
          <w:tab w:val="clear" w:pos="708"/>
          <w:tab w:val="left" w:pos="1418" w:leader="none"/>
        </w:tabs>
        <w:ind w:firstLine="709" w:left="0"/>
        <w:jc w:val="both"/>
        <w:rPr>
          <w:highlight w:val="white"/>
        </w:rPr>
      </w:pPr>
      <w:r>
        <w:rPr>
          <w:highlight w:val="white"/>
        </w:rPr>
        <w:t xml:space="preserve">Акт КС-2 по форме Приложения № 13, Справку КС-3 по форме Приложения № 14 в 2 (двух) экземплярах, счет-фактуру (оригинал счета-фактуры направляется Заказчику экспресс-почтой); </w:t>
      </w:r>
    </w:p>
    <w:p>
      <w:pPr>
        <w:pStyle w:val="ListParagraph"/>
        <w:tabs>
          <w:tab w:val="clear" w:pos="708"/>
          <w:tab w:val="left" w:pos="1134" w:leader="none"/>
        </w:tabs>
        <w:ind w:firstLine="709" w:left="0"/>
        <w:jc w:val="both"/>
        <w:rPr/>
      </w:pPr>
      <w:r>
        <w:rPr>
          <w:bCs/>
        </w:rPr>
        <w:t>По завершении выполнения Работ в отношении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6"/>
        </w:numPr>
        <w:tabs>
          <w:tab w:val="clear" w:pos="708"/>
          <w:tab w:val="left" w:pos="1134" w:leader="none"/>
        </w:tabs>
        <w:ind w:firstLine="709" w:left="0"/>
        <w:jc w:val="both"/>
        <w:rPr/>
      </w:pPr>
      <w:r>
        <w:rPr>
          <w:bCs/>
        </w:rPr>
        <w:t>А</w:t>
      </w:r>
      <w:r>
        <w:rPr/>
        <w:t>кт КС-11 по форме Приложения №15 в 2 (двух) экземплярах.</w:t>
      </w:r>
    </w:p>
    <w:p>
      <w:pPr>
        <w:pStyle w:val="ListParagraph"/>
        <w:numPr>
          <w:ilvl w:val="0"/>
          <w:numId w:val="16"/>
        </w:numPr>
        <w:shd w:val="clear" w:color="auto" w:fill="FFFFFF"/>
        <w:tabs>
          <w:tab w:val="clear" w:pos="708"/>
          <w:tab w:val="left" w:pos="1134" w:leader="none"/>
        </w:tabs>
        <w:ind w:hanging="709" w:left="1418"/>
        <w:jc w:val="both"/>
        <w:rPr/>
      </w:pPr>
      <w:bookmarkStart w:id="24" w:name="_Ref361336865"/>
      <w:r>
        <w:rPr/>
        <w:t>Технический план сооружения</w:t>
      </w:r>
      <w:bookmarkEnd w:id="24"/>
    </w:p>
    <w:p>
      <w:pPr>
        <w:pStyle w:val="ListParagraph"/>
        <w:numPr>
          <w:ilvl w:val="1"/>
          <w:numId w:val="3"/>
        </w:numPr>
        <w:tabs>
          <w:tab w:val="clear" w:pos="708"/>
          <w:tab w:val="left" w:pos="568" w:leader="none"/>
          <w:tab w:val="left" w:pos="1134" w:leader="none"/>
        </w:tabs>
        <w:ind w:firstLine="709" w:left="0"/>
        <w:jc w:val="both"/>
        <w:rPr>
          <w:bCs/>
        </w:rPr>
      </w:pPr>
      <w:r>
        <w:rPr>
          <w:bCs/>
        </w:rPr>
        <w:t xml:space="preserve">В течение 5 (пяти) рабочих дней с даты получения полного комплекта документов, указанных в пунктах 4.2-4.3 Договора, Заказчик подписывает и передает Подрядчику 1 (один) экземпляр каждого указанного акта. В случае наличия замечаний извещает Подрядчика и отражает замечания в Реестрах (Приложения №19.1, 19.2 к Договору) с указанием сроков их устранения и письменно извещает Подрядчика о необходимости устранения замечаний. </w:t>
      </w:r>
    </w:p>
    <w:p>
      <w:pPr>
        <w:pStyle w:val="ListParagraph"/>
        <w:numPr>
          <w:ilvl w:val="1"/>
          <w:numId w:val="3"/>
        </w:numPr>
        <w:tabs>
          <w:tab w:val="clear" w:pos="708"/>
          <w:tab w:val="left" w:pos="568" w:leader="none"/>
          <w:tab w:val="left" w:pos="1134" w:leader="none"/>
        </w:tabs>
        <w:ind w:firstLine="709" w:left="0"/>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Реестрах (Приложения №19.1, 19.2 к Договору).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numPr>
          <w:ilvl w:val="1"/>
          <w:numId w:val="3"/>
        </w:numPr>
        <w:tabs>
          <w:tab w:val="clear" w:pos="708"/>
          <w:tab w:val="left" w:pos="1134" w:leader="none"/>
        </w:tabs>
        <w:ind w:firstLine="709" w:left="0"/>
        <w:jc w:val="both"/>
        <w:rPr>
          <w:bCs/>
          <w:highlight w:val="white"/>
        </w:rPr>
      </w:pPr>
      <w:r>
        <w:rPr>
          <w:bCs/>
        </w:rPr>
        <w:t xml:space="preserve">Повторная приемка Заказчиком выполненных Работ после устранения недостатков, указанных в </w:t>
      </w:r>
      <w:r>
        <w:rPr>
          <w:bCs/>
          <w:highlight w:val="white"/>
        </w:rPr>
        <w:t>Реестрах (Приложения №19.1, 19.2 к Договору), осуществляется в порядке, предусмотренном пунктами 4.1-4.4 Договора.</w:t>
      </w:r>
    </w:p>
    <w:p>
      <w:pPr>
        <w:pStyle w:val="ListParagraph"/>
        <w:numPr>
          <w:ilvl w:val="1"/>
          <w:numId w:val="3"/>
        </w:numPr>
        <w:tabs>
          <w:tab w:val="clear" w:pos="708"/>
          <w:tab w:val="left" w:pos="1134" w:leader="none"/>
        </w:tabs>
        <w:ind w:firstLine="709" w:left="0"/>
        <w:jc w:val="both"/>
        <w:rPr>
          <w:bCs/>
        </w:rPr>
      </w:pPr>
      <w:r>
        <w:rPr>
          <w:bCs/>
        </w:rPr>
        <w:t>Если Подрядчик не устранит недостатки, несоответствия и / или дефекты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widowControl w:val="false"/>
        <w:numPr>
          <w:ilvl w:val="1"/>
          <w:numId w:val="3"/>
        </w:numPr>
        <w:tabs>
          <w:tab w:val="clear" w:pos="708"/>
          <w:tab w:val="left" w:pos="709" w:leader="none"/>
          <w:tab w:val="left" w:pos="1134" w:leader="none"/>
        </w:tabs>
        <w:ind w:firstLine="709" w:left="0"/>
        <w:jc w:val="both"/>
        <w:rPr>
          <w:bCs/>
        </w:rPr>
      </w:pPr>
      <w:r>
        <w:rPr>
          <w:bCs/>
        </w:rPr>
        <w:t>Заказчик, обнаруживший после приемки Работ отступления от условий настоящего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течение 5 (пяти) рабочих дней со дня их обнаружения. Подрядчик обязуется устранить недостатки в сроки, согласованные Сторонами.</w:t>
      </w:r>
    </w:p>
    <w:p>
      <w:pPr>
        <w:pStyle w:val="ListParagraph"/>
        <w:widowControl w:val="false"/>
        <w:numPr>
          <w:ilvl w:val="1"/>
          <w:numId w:val="3"/>
        </w:numPr>
        <w:tabs>
          <w:tab w:val="clear" w:pos="708"/>
          <w:tab w:val="left" w:pos="709" w:leader="none"/>
          <w:tab w:val="left" w:pos="1134" w:leader="none"/>
        </w:tabs>
        <w:ind w:firstLine="709" w:left="0"/>
        <w:jc w:val="both"/>
        <w:rPr>
          <w:bCs/>
        </w:rPr>
      </w:pPr>
      <w:r>
        <w:rPr>
          <w:bCs/>
        </w:rPr>
        <w:t>При возникновении между Заказчиком и Подрядчиком спора по поводу недостатков выполненной работы или их причин, по требованию любой из стороны должна быть назначена экспертиза. Экспертная организация определяется соглашением сторон и должна обладать лицензией на право проведения экспертизы и предоставления экспертных заключений. При недостижении соглашения, экспертная организация выбирается стороной, инициирующей проведение экспертизы. Расходы по проведению экспертизы несет Сторона, потребовавшая назначения экспертизы, а если она назначена по соглашению между Сторонами – обе Стороны поровну. В случае, если заключением экспертизы будет подтверждено наличие недостатков работы, расходы по проведению экспертизы, понесенные Заказчиком, подлежат возмещению Подрядчиком в 20-ти (двадцати) дневный срок с даты предъявления Заказчиком соответствующего требования.</w:t>
      </w:r>
    </w:p>
    <w:p>
      <w:pPr>
        <w:pStyle w:val="ListParagraph"/>
        <w:widowControl w:val="false"/>
        <w:numPr>
          <w:ilvl w:val="1"/>
          <w:numId w:val="3"/>
        </w:numPr>
        <w:tabs>
          <w:tab w:val="clear" w:pos="708"/>
          <w:tab w:val="left" w:pos="709" w:leader="none"/>
          <w:tab w:val="left" w:pos="1134" w:leader="none"/>
        </w:tabs>
        <w:ind w:firstLine="709" w:left="0"/>
        <w:jc w:val="both"/>
        <w:rPr>
          <w:bCs/>
        </w:rPr>
      </w:pPr>
      <w:r>
        <w:rPr>
          <w:bCs/>
        </w:rPr>
        <w:t>Скрытые работы принимаются с составлением соответствующих двухсторонних  Актов. Подрядчик заблаговременно в письменном виде уведомляет Заказчика о необходимости проведения промежуточной приемки выполненных работ, ответственных конструкций и систем и т.п., но не менее чем за 3 (три) рабочих дня до начала  проведения этой приемки.</w:t>
      </w:r>
    </w:p>
    <w:p>
      <w:pPr>
        <w:pStyle w:val="ListParagraph"/>
        <w:widowControl w:val="false"/>
        <w:numPr>
          <w:ilvl w:val="1"/>
          <w:numId w:val="3"/>
        </w:numPr>
        <w:tabs>
          <w:tab w:val="clear" w:pos="708"/>
          <w:tab w:val="left" w:pos="709" w:leader="none"/>
          <w:tab w:val="left" w:pos="1134" w:leader="none"/>
        </w:tabs>
        <w:ind w:firstLine="709" w:left="0"/>
        <w:jc w:val="both"/>
        <w:rPr/>
      </w:pPr>
      <w:r>
        <w:rPr>
          <w:bCs/>
        </w:rPr>
        <w:t xml:space="preserve"> </w:t>
      </w: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3"/>
        </w:numPr>
        <w:ind w:firstLine="709" w:left="0"/>
        <w:jc w:val="both"/>
        <w:rPr>
          <w:bCs/>
        </w:rPr>
      </w:pPr>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tabs>
          <w:tab w:val="clear" w:pos="708"/>
          <w:tab w:val="left" w:pos="1134" w:leader="none"/>
        </w:tabs>
        <w:ind w:hanging="0" w:left="567"/>
        <w:jc w:val="both"/>
        <w:rPr>
          <w:bCs/>
        </w:rPr>
      </w:pPr>
      <w:r>
        <w:rPr>
          <w:bCs/>
        </w:rPr>
      </w:r>
    </w:p>
    <w:p>
      <w:pPr>
        <w:pStyle w:val="ListParagraph"/>
        <w:numPr>
          <w:ilvl w:val="0"/>
          <w:numId w:val="3"/>
        </w:numPr>
        <w:tabs>
          <w:tab w:val="clear" w:pos="708"/>
          <w:tab w:val="left" w:pos="284" w:leader="none"/>
        </w:tabs>
        <w:ind w:hanging="0" w:left="0"/>
        <w:jc w:val="center"/>
        <w:rPr>
          <w:b/>
          <w:bCs/>
        </w:rPr>
      </w:pPr>
      <w:r>
        <w:rPr>
          <w:b/>
          <w:bCs/>
        </w:rPr>
        <w:t>Право собственности и переход рисков</w:t>
      </w:r>
    </w:p>
    <w:p>
      <w:pPr>
        <w:pStyle w:val="Normal"/>
        <w:tabs>
          <w:tab w:val="clear" w:pos="708"/>
          <w:tab w:val="left" w:pos="710" w:leader="none"/>
        </w:tabs>
        <w:spacing w:lineRule="auto" w:line="240"/>
        <w:ind w:hanging="0" w:left="710"/>
        <w:jc w:val="both"/>
        <w:rPr>
          <w:sz w:val="24"/>
          <w:szCs w:val="24"/>
        </w:rPr>
      </w:pPr>
      <w:r>
        <w:rPr>
          <w:sz w:val="24"/>
          <w:szCs w:val="24"/>
        </w:rPr>
        <w:t xml:space="preserve">5.1. </w:t>
      </w:r>
      <w:bookmarkStart w:id="25" w:name="_Ref361405028"/>
      <w:r>
        <w:rPr>
          <w:bCs/>
          <w:sz w:val="24"/>
          <w:szCs w:val="24"/>
        </w:rPr>
        <w:t>Право собственности, риск случайной гибели или повреждения Результата работ в</w:t>
      </w:r>
    </w:p>
    <w:p>
      <w:pPr>
        <w:pStyle w:val="Normal"/>
        <w:tabs>
          <w:tab w:val="clear" w:pos="708"/>
          <w:tab w:val="left" w:pos="710" w:leader="none"/>
        </w:tabs>
        <w:spacing w:lineRule="auto" w:line="240"/>
        <w:ind w:hanging="0" w:left="0"/>
        <w:jc w:val="both"/>
        <w:rPr/>
      </w:pPr>
      <w:r>
        <w:rPr>
          <w:bCs/>
          <w:sz w:val="24"/>
          <w:szCs w:val="24"/>
        </w:rPr>
        <w:t>отношении Объекта, включая Материально-технические ресурсы, переходит к Заказчику с момента подписания Акта .</w:t>
      </w:r>
      <w:r>
        <w:rPr>
          <w:sz w:val="24"/>
          <w:szCs w:val="24"/>
        </w:rPr>
        <w:t>КС-11.</w:t>
      </w:r>
      <w:r>
        <w:rPr>
          <w:bCs/>
          <w:sz w:val="24"/>
          <w:szCs w:val="24"/>
        </w:rPr>
        <w:t xml:space="preserve">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w:t>
      </w:r>
      <w:r>
        <w:rPr>
          <w:bCs/>
        </w:rPr>
        <w:t>ик.</w:t>
      </w:r>
      <w:bookmarkEnd w:id="25"/>
    </w:p>
    <w:p>
      <w:pPr>
        <w:pStyle w:val="ListParagraph"/>
        <w:numPr>
          <w:ilvl w:val="1"/>
          <w:numId w:val="3"/>
        </w:numPr>
        <w:tabs>
          <w:tab w:val="clear" w:pos="708"/>
          <w:tab w:val="left" w:pos="710" w:leader="none"/>
        </w:tabs>
        <w:ind w:firstLine="710" w:left="0"/>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3"/>
        </w:numPr>
        <w:tabs>
          <w:tab w:val="clear" w:pos="708"/>
          <w:tab w:val="left" w:pos="710" w:leader="none"/>
        </w:tabs>
        <w:ind w:firstLine="710" w:left="0"/>
        <w:jc w:val="both"/>
        <w:rPr>
          <w:bCs/>
        </w:rPr>
      </w:pPr>
      <w:r>
        <w:rPr>
          <w:bCs/>
        </w:rPr>
        <w:t>Подписание</w:t>
      </w:r>
      <w:r>
        <w:rPr>
          <w:iCs/>
        </w:rPr>
        <w:t xml:space="preserve"> Заказчиком </w:t>
      </w:r>
      <w:r>
        <w:rPr>
          <w:bCs/>
        </w:rPr>
        <w:t xml:space="preserve">Акта </w:t>
      </w:r>
      <w:r>
        <w:rP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не освобождает Подрядчика от ответственности за Результат работ по Договору в целом.</w:t>
      </w:r>
    </w:p>
    <w:p>
      <w:pPr>
        <w:pStyle w:val="ListParagraph"/>
        <w:numPr>
          <w:ilvl w:val="0"/>
          <w:numId w:val="0"/>
        </w:numPr>
        <w:tabs>
          <w:tab w:val="clear" w:pos="708"/>
          <w:tab w:val="left" w:pos="710" w:leader="none"/>
        </w:tabs>
        <w:ind w:hanging="0" w:left="0"/>
        <w:jc w:val="both"/>
        <w:rPr>
          <w:bCs/>
        </w:rPr>
      </w:pPr>
      <w:r>
        <w:rPr>
          <w:bCs/>
        </w:rPr>
      </w:r>
    </w:p>
    <w:p>
      <w:pPr>
        <w:pStyle w:val="ListParagraph"/>
        <w:numPr>
          <w:ilvl w:val="0"/>
          <w:numId w:val="3"/>
        </w:numPr>
        <w:tabs>
          <w:tab w:val="clear" w:pos="708"/>
          <w:tab w:val="left" w:pos="284" w:leader="none"/>
        </w:tabs>
        <w:ind w:hanging="283" w:left="709"/>
        <w:jc w:val="center"/>
        <w:rPr>
          <w:b/>
          <w:bCs/>
        </w:rPr>
      </w:pPr>
      <w:r>
        <w:rPr>
          <w:b/>
          <w:bCs/>
        </w:rPr>
        <w:t>Независимая гарантия</w:t>
      </w:r>
    </w:p>
    <w:p>
      <w:pPr>
        <w:pStyle w:val="Normal"/>
        <w:spacing w:lineRule="auto" w:line="240"/>
        <w:ind w:firstLine="709"/>
        <w:rPr>
          <w:bCs/>
          <w:sz w:val="24"/>
          <w:szCs w:val="24"/>
        </w:rPr>
      </w:pPr>
      <w:r>
        <w:rPr>
          <w:bCs/>
          <w:sz w:val="24"/>
          <w:szCs w:val="24"/>
        </w:rPr>
        <w:t>6.1 Условия независимой гарантии, предоставляемой в качестве обеспечения исполнения договора, заключаемого с СМП при осуществлении закупки товаров, работ, услуг в электронной форме с участием СМП (далее – Независимая гарантия):</w:t>
      </w:r>
    </w:p>
    <w:p>
      <w:pPr>
        <w:pStyle w:val="Normal"/>
        <w:numPr>
          <w:ilvl w:val="0"/>
          <w:numId w:val="22"/>
        </w:numPr>
        <w:spacing w:lineRule="auto" w:line="240"/>
        <w:ind w:firstLine="709" w:left="0"/>
        <w:rPr>
          <w:bCs/>
          <w:sz w:val="24"/>
          <w:szCs w:val="24"/>
        </w:rPr>
      </w:pPr>
      <w:r>
        <w:rPr>
          <w:bCs/>
          <w:sz w:val="24"/>
          <w:szCs w:val="24"/>
        </w:rPr>
        <w:t>Независимая гарантия не может быть отозвана выдавшим ее Подрядчиком;</w:t>
      </w:r>
    </w:p>
    <w:p>
      <w:pPr>
        <w:pStyle w:val="Normal"/>
        <w:numPr>
          <w:ilvl w:val="0"/>
          <w:numId w:val="22"/>
        </w:numPr>
        <w:spacing w:lineRule="auto" w:line="240"/>
        <w:ind w:firstLine="709" w:left="0"/>
        <w:rPr>
          <w:bCs/>
          <w:sz w:val="24"/>
          <w:szCs w:val="24"/>
        </w:rPr>
      </w:pPr>
      <w:r>
        <w:rPr>
          <w:bCs/>
          <w:sz w:val="24"/>
          <w:szCs w:val="24"/>
        </w:rPr>
        <w:t>бенефициар по Независимой гарантии -– Заказчик, принципал – Подрядчик;</w:t>
      </w:r>
    </w:p>
    <w:p>
      <w:pPr>
        <w:pStyle w:val="Normal"/>
        <w:numPr>
          <w:ilvl w:val="0"/>
          <w:numId w:val="22"/>
        </w:numPr>
        <w:spacing w:lineRule="auto" w:line="240"/>
        <w:ind w:firstLine="709" w:left="0"/>
        <w:rPr>
          <w:bCs/>
          <w:sz w:val="24"/>
          <w:szCs w:val="24"/>
        </w:rPr>
      </w:pPr>
      <w:r>
        <w:rPr>
          <w:bCs/>
          <w:sz w:val="24"/>
          <w:szCs w:val="24"/>
        </w:rPr>
        <w:t>сумма Независимой гарантии выражена в валюте расчетов по Договору;</w:t>
      </w:r>
    </w:p>
    <w:p>
      <w:pPr>
        <w:pStyle w:val="Normal"/>
        <w:numPr>
          <w:ilvl w:val="0"/>
          <w:numId w:val="22"/>
        </w:numPr>
        <w:spacing w:lineRule="auto" w:line="240"/>
        <w:ind w:firstLine="709" w:left="0"/>
        <w:rPr>
          <w:bCs/>
          <w:sz w:val="24"/>
          <w:szCs w:val="24"/>
        </w:rPr>
      </w:pPr>
      <w:r>
        <w:rPr>
          <w:bCs/>
          <w:sz w:val="24"/>
          <w:szCs w:val="24"/>
        </w:rPr>
        <w:t>сумма Независимой гарантии надлежащего исполнения обязательств по Договору должна составлять: 5 (пять) процентов от цены Договора (в случае письменного отказа от выплаты аванса) или в размере аванса;</w:t>
      </w:r>
    </w:p>
    <w:p>
      <w:pPr>
        <w:pStyle w:val="Normal"/>
        <w:numPr>
          <w:ilvl w:val="0"/>
          <w:numId w:val="22"/>
        </w:numPr>
        <w:spacing w:lineRule="auto" w:line="240"/>
        <w:ind w:firstLine="709" w:left="0"/>
        <w:rPr>
          <w:bCs/>
          <w:sz w:val="24"/>
          <w:szCs w:val="24"/>
        </w:rPr>
      </w:pPr>
      <w:r>
        <w:rPr>
          <w:bCs/>
          <w:sz w:val="24"/>
          <w:szCs w:val="24"/>
        </w:rPr>
        <w:t xml:space="preserve">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 </w:t>
      </w:r>
    </w:p>
    <w:p>
      <w:pPr>
        <w:pStyle w:val="Normal"/>
        <w:spacing w:lineRule="auto" w:line="240"/>
        <w:ind w:firstLine="709"/>
        <w:rPr>
          <w:bCs/>
          <w:sz w:val="24"/>
          <w:szCs w:val="24"/>
        </w:rPr>
      </w:pPr>
      <w:r>
        <w:rPr>
          <w:bCs/>
          <w:sz w:val="24"/>
          <w:szCs w:val="24"/>
        </w:rPr>
        <w:t>6.2 Независимая гарантия должна быть составлена по типовой форме согласно Приложению 3 полож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требования:</w:t>
      </w:r>
    </w:p>
    <w:p>
      <w:pPr>
        <w:pStyle w:val="Normal"/>
        <w:spacing w:lineRule="auto" w:line="240"/>
        <w:ind w:firstLine="709"/>
        <w:rPr>
          <w:bCs/>
          <w:sz w:val="24"/>
          <w:szCs w:val="24"/>
        </w:rPr>
      </w:pPr>
      <w:r>
        <w:rPr>
          <w:bCs/>
          <w:sz w:val="24"/>
          <w:szCs w:val="24"/>
        </w:rPr>
        <w:t>а) условие о праве Заказчика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w:t>
      </w:r>
      <w:r>
        <w:rPr>
          <w:bCs/>
          <w:sz w:val="24"/>
          <w:szCs w:val="24"/>
          <w:highlight w:val="white"/>
        </w:rPr>
        <w:t xml:space="preserve">ению 18 </w:t>
      </w:r>
      <w:r>
        <w:rPr>
          <w:bCs/>
          <w:sz w:val="24"/>
          <w:szCs w:val="24"/>
        </w:rPr>
        <w:t>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Заказчик осуществлена приемка, но не превышающей размер обеспечения исполнения Договора (сумму Независимой гарантии);</w:t>
      </w:r>
    </w:p>
    <w:p>
      <w:pPr>
        <w:pStyle w:val="Normal"/>
        <w:spacing w:lineRule="auto" w:line="240"/>
        <w:ind w:firstLine="709"/>
        <w:rPr>
          <w:bCs/>
          <w:sz w:val="24"/>
          <w:szCs w:val="24"/>
        </w:rPr>
      </w:pPr>
      <w:r>
        <w:rPr>
          <w:bCs/>
          <w:sz w:val="24"/>
          <w:szCs w:val="24"/>
        </w:rPr>
        <w:t xml:space="preserve">б) условие о праве Заказчика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w:t>
      </w:r>
    </w:p>
    <w:p>
      <w:pPr>
        <w:pStyle w:val="Normal"/>
        <w:spacing w:lineRule="auto" w:line="240"/>
        <w:ind w:firstLine="709"/>
        <w:rPr>
          <w:bCs/>
          <w:sz w:val="24"/>
          <w:szCs w:val="24"/>
        </w:rPr>
      </w:pPr>
      <w:r>
        <w:rPr>
          <w:bCs/>
          <w:sz w:val="24"/>
          <w:szCs w:val="24"/>
        </w:rPr>
        <w:t xml:space="preserve">Выбор формы направления такого требования осуществляется Заказчиком самостоятельно. </w:t>
      </w:r>
    </w:p>
    <w:p>
      <w:pPr>
        <w:pStyle w:val="Normal"/>
        <w:spacing w:lineRule="auto" w:line="240"/>
        <w:ind w:firstLine="709"/>
        <w:rPr>
          <w:bCs/>
          <w:sz w:val="24"/>
          <w:szCs w:val="24"/>
        </w:rPr>
      </w:pPr>
      <w:r>
        <w:rPr>
          <w:bCs/>
          <w:sz w:val="24"/>
          <w:szCs w:val="24"/>
        </w:rPr>
        <w:t>6.3 В случае направления требования об уплате денежной суммы по Независимой гарантии на бумажном носителе представляются оригиналы или заверенные Заказчиком копии следующих документов (далее – Документы к требованию):</w:t>
      </w:r>
    </w:p>
    <w:p>
      <w:pPr>
        <w:pStyle w:val="Normal"/>
        <w:numPr>
          <w:ilvl w:val="0"/>
          <w:numId w:val="22"/>
        </w:numPr>
        <w:spacing w:lineRule="auto" w:line="240"/>
        <w:ind w:firstLine="709" w:left="0"/>
        <w:rPr>
          <w:bCs/>
          <w:sz w:val="24"/>
          <w:szCs w:val="24"/>
        </w:rPr>
      </w:pPr>
      <w:r>
        <w:rPr>
          <w:bCs/>
          <w:sz w:val="24"/>
          <w:szCs w:val="24"/>
        </w:rPr>
        <w:t>расчет суммы, включаемой в требование об уплате денежной суммы по Независимой гарантии;</w:t>
      </w:r>
    </w:p>
    <w:p>
      <w:pPr>
        <w:pStyle w:val="Normal"/>
        <w:numPr>
          <w:ilvl w:val="0"/>
          <w:numId w:val="22"/>
        </w:numPr>
        <w:spacing w:lineRule="auto" w:line="240"/>
        <w:ind w:firstLine="709" w:left="0"/>
        <w:rPr>
          <w:bCs/>
          <w:sz w:val="24"/>
          <w:szCs w:val="24"/>
        </w:rPr>
      </w:pPr>
      <w:r>
        <w:rPr>
          <w:bCs/>
          <w:sz w:val="24"/>
          <w:szCs w:val="24"/>
        </w:rPr>
        <w:t>документ, содержащий указание на нарушения Подрядчиком обязательств, предусмотренных Договором;</w:t>
      </w:r>
    </w:p>
    <w:p>
      <w:pPr>
        <w:pStyle w:val="Normal"/>
        <w:numPr>
          <w:ilvl w:val="0"/>
          <w:numId w:val="22"/>
        </w:numPr>
        <w:spacing w:lineRule="auto" w:line="240"/>
        <w:ind w:firstLine="709" w:left="0"/>
        <w:rPr>
          <w:bCs/>
          <w:sz w:val="24"/>
          <w:szCs w:val="24"/>
        </w:rPr>
      </w:pPr>
      <w:r>
        <w:rPr>
          <w:bCs/>
          <w:sz w:val="24"/>
          <w:szCs w:val="24"/>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spacing w:lineRule="auto" w:line="240"/>
        <w:ind w:firstLine="709"/>
        <w:rPr>
          <w:bCs/>
          <w:sz w:val="24"/>
          <w:szCs w:val="24"/>
        </w:rPr>
      </w:pPr>
      <w:r>
        <w:rPr>
          <w:bCs/>
          <w:sz w:val="24"/>
          <w:szCs w:val="24"/>
        </w:rPr>
        <w:t xml:space="preserve">6.4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также представляется документ, подтверждающий полномочия такого лица на осуществление действий от имени Заказчика. </w:t>
      </w:r>
    </w:p>
    <w:p>
      <w:pPr>
        <w:pStyle w:val="Normal"/>
        <w:spacing w:lineRule="auto" w:line="240"/>
        <w:ind w:firstLine="709"/>
        <w:rPr>
          <w:bCs/>
          <w:sz w:val="24"/>
          <w:szCs w:val="24"/>
        </w:rPr>
      </w:pPr>
      <w:r>
        <w:rPr>
          <w:bCs/>
          <w:sz w:val="24"/>
          <w:szCs w:val="24"/>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w:t>
      </w:r>
    </w:p>
    <w:p>
      <w:pPr>
        <w:pStyle w:val="Normal"/>
        <w:spacing w:lineRule="auto" w:line="240"/>
        <w:ind w:firstLine="709"/>
        <w:rPr>
          <w:bCs/>
          <w:sz w:val="24"/>
          <w:szCs w:val="24"/>
        </w:rPr>
      </w:pPr>
      <w:r>
        <w:rPr>
          <w:bCs/>
          <w:sz w:val="24"/>
          <w:szCs w:val="24"/>
        </w:rPr>
        <w:t>6.6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pPr>
        <w:pStyle w:val="Normal"/>
        <w:numPr>
          <w:ilvl w:val="0"/>
          <w:numId w:val="22"/>
        </w:numPr>
        <w:spacing w:lineRule="auto" w:line="240"/>
        <w:ind w:firstLine="709" w:left="0"/>
        <w:rPr>
          <w:bCs/>
          <w:sz w:val="24"/>
          <w:szCs w:val="24"/>
        </w:rPr>
      </w:pPr>
      <w:r>
        <w:rPr>
          <w:bCs/>
          <w:sz w:val="24"/>
          <w:szCs w:val="24"/>
        </w:rPr>
        <w:t>отказа Подрядчика от исполнения обязательств по Договору, в том числе одностороннего отказа от Договора;</w:t>
      </w:r>
    </w:p>
    <w:p>
      <w:pPr>
        <w:pStyle w:val="Normal"/>
        <w:numPr>
          <w:ilvl w:val="0"/>
          <w:numId w:val="22"/>
        </w:numPr>
        <w:spacing w:lineRule="auto" w:line="240"/>
        <w:ind w:firstLine="709" w:left="0"/>
        <w:rPr>
          <w:bCs/>
          <w:sz w:val="24"/>
          <w:szCs w:val="24"/>
        </w:rPr>
      </w:pPr>
      <w:r>
        <w:rPr>
          <w:bCs/>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numPr>
          <w:ilvl w:val="0"/>
          <w:numId w:val="22"/>
        </w:numPr>
        <w:spacing w:lineRule="auto" w:line="240"/>
        <w:ind w:firstLine="709" w:left="0"/>
        <w:rPr>
          <w:bCs/>
          <w:sz w:val="24"/>
          <w:szCs w:val="24"/>
        </w:rPr>
      </w:pPr>
      <w:r>
        <w:rPr>
          <w:bCs/>
          <w:sz w:val="24"/>
          <w:szCs w:val="24"/>
        </w:rPr>
        <w:t>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pPr>
        <w:pStyle w:val="Normal"/>
        <w:numPr>
          <w:ilvl w:val="0"/>
          <w:numId w:val="22"/>
        </w:numPr>
        <w:spacing w:lineRule="auto" w:line="240"/>
        <w:ind w:firstLine="709" w:left="0"/>
        <w:rPr>
          <w:bCs/>
          <w:sz w:val="24"/>
          <w:szCs w:val="24"/>
        </w:rPr>
      </w:pPr>
      <w:r>
        <w:rPr>
          <w:bCs/>
          <w:sz w:val="24"/>
          <w:szCs w:val="24"/>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pPr>
        <w:pStyle w:val="Normal"/>
        <w:numPr>
          <w:ilvl w:val="0"/>
          <w:numId w:val="22"/>
        </w:numPr>
        <w:spacing w:lineRule="auto" w:line="240"/>
        <w:ind w:firstLine="709" w:left="0"/>
        <w:rPr>
          <w:bCs/>
          <w:sz w:val="24"/>
          <w:szCs w:val="24"/>
        </w:rPr>
      </w:pPr>
      <w:r>
        <w:rPr>
          <w:bCs/>
          <w:sz w:val="24"/>
          <w:szCs w:val="24"/>
          <w:highlight w:val="white"/>
        </w:rPr>
        <w:t xml:space="preserve">прекращения членства в СРО, основанной на членстве лиц, осуществляющих строительство; </w:t>
      </w:r>
    </w:p>
    <w:p>
      <w:pPr>
        <w:pStyle w:val="Normal"/>
        <w:numPr>
          <w:ilvl w:val="0"/>
          <w:numId w:val="22"/>
        </w:numPr>
        <w:spacing w:lineRule="auto" w:line="240"/>
        <w:ind w:firstLine="709" w:left="0"/>
        <w:rPr>
          <w:bCs/>
          <w:sz w:val="24"/>
          <w:szCs w:val="24"/>
        </w:rPr>
      </w:pPr>
      <w:r>
        <w:rPr>
          <w:bCs/>
          <w:sz w:val="24"/>
          <w:szCs w:val="24"/>
        </w:rPr>
        <w:t>введения арбитражным судом процедуры несостоятельности (банкротства) в отношении Подрядчика;</w:t>
      </w:r>
    </w:p>
    <w:p>
      <w:pPr>
        <w:pStyle w:val="Normal"/>
        <w:numPr>
          <w:ilvl w:val="0"/>
          <w:numId w:val="22"/>
        </w:numPr>
        <w:spacing w:lineRule="auto" w:line="240"/>
        <w:ind w:firstLine="709" w:left="0"/>
        <w:rPr>
          <w:bCs/>
          <w:sz w:val="24"/>
          <w:szCs w:val="24"/>
        </w:rPr>
      </w:pP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numPr>
          <w:ilvl w:val="0"/>
          <w:numId w:val="22"/>
        </w:numPr>
        <w:spacing w:lineRule="auto" w:line="240"/>
        <w:ind w:firstLine="709" w:left="0"/>
        <w:rPr>
          <w:bCs/>
          <w:sz w:val="24"/>
          <w:szCs w:val="24"/>
        </w:rPr>
      </w:pPr>
      <w:r>
        <w:rPr>
          <w:bCs/>
          <w:sz w:val="24"/>
          <w:szCs w:val="24"/>
        </w:rPr>
        <w:t>признания Договора недействительным по причинам отсутствия необходимых корпоративных одобрений у Подрядчика;</w:t>
      </w:r>
    </w:p>
    <w:p>
      <w:pPr>
        <w:pStyle w:val="Normal"/>
        <w:numPr>
          <w:ilvl w:val="0"/>
          <w:numId w:val="22"/>
        </w:numPr>
        <w:spacing w:lineRule="auto" w:line="240"/>
        <w:ind w:firstLine="709" w:left="0"/>
        <w:rPr>
          <w:bCs/>
          <w:sz w:val="24"/>
          <w:szCs w:val="24"/>
        </w:rPr>
      </w:pPr>
      <w:r>
        <w:rPr>
          <w:bCs/>
          <w:sz w:val="24"/>
          <w:szCs w:val="24"/>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spacing w:lineRule="auto" w:line="240"/>
        <w:ind w:firstLine="709"/>
        <w:rPr>
          <w:bCs/>
          <w:sz w:val="24"/>
          <w:szCs w:val="24"/>
        </w:rPr>
      </w:pPr>
      <w:r>
        <w:rPr>
          <w:bCs/>
          <w:sz w:val="24"/>
          <w:szCs w:val="24"/>
        </w:rPr>
        <w:t>6.7 Внесение изменений и дополнений в Договор в период срока действия Независимой гарантии не освобождает гаранта от обязательств перед Заказчиком по Независимой гарантии.</w:t>
      </w:r>
    </w:p>
    <w:p>
      <w:pPr>
        <w:pStyle w:val="Normal"/>
        <w:spacing w:lineRule="auto" w:line="240"/>
        <w:ind w:firstLine="709"/>
        <w:rPr>
          <w:bCs/>
          <w:sz w:val="24"/>
          <w:szCs w:val="24"/>
        </w:rPr>
      </w:pPr>
      <w:r>
        <w:rPr>
          <w:bCs/>
          <w:sz w:val="24"/>
          <w:szCs w:val="24"/>
        </w:rPr>
        <w:t>в) текст Независимой гарантии должен содержать перечень Документов к требованию.</w:t>
      </w:r>
    </w:p>
    <w:p>
      <w:pPr>
        <w:pStyle w:val="Normal"/>
        <w:spacing w:lineRule="auto" w:line="240"/>
        <w:ind w:firstLine="709"/>
        <w:rPr>
          <w:bCs/>
          <w:sz w:val="24"/>
          <w:szCs w:val="24"/>
        </w:rPr>
      </w:pPr>
      <w:r>
        <w:rPr>
          <w:bCs/>
          <w:sz w:val="24"/>
          <w:szCs w:val="24"/>
        </w:rPr>
        <w:t>г) условие об обязанности гаранта рассмотреть требование Заказчика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spacing w:lineRule="auto" w:line="240"/>
        <w:ind w:firstLine="709"/>
        <w:rPr>
          <w:bCs/>
          <w:sz w:val="24"/>
          <w:szCs w:val="24"/>
        </w:rPr>
      </w:pPr>
      <w:r>
        <w:rPr>
          <w:bCs/>
          <w:sz w:val="24"/>
          <w:szCs w:val="24"/>
        </w:rPr>
        <w:t>д) условие о праве Заказчика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spacing w:lineRule="auto" w:line="240"/>
        <w:ind w:firstLine="709"/>
        <w:rPr>
          <w:bCs/>
          <w:sz w:val="24"/>
          <w:szCs w:val="24"/>
        </w:rPr>
      </w:pPr>
      <w:r>
        <w:rPr>
          <w:bCs/>
          <w:sz w:val="24"/>
          <w:szCs w:val="24"/>
        </w:rPr>
        <w:t>е) условие о том, что расходы, возникающие в связи с перечислением гарантом денежных средств по Независимой гарантии, несет гарант;</w:t>
      </w:r>
    </w:p>
    <w:p>
      <w:pPr>
        <w:pStyle w:val="Normal"/>
        <w:spacing w:lineRule="auto" w:line="240"/>
        <w:ind w:firstLine="709"/>
        <w:rPr>
          <w:bCs/>
          <w:sz w:val="24"/>
          <w:szCs w:val="24"/>
        </w:rPr>
      </w:pPr>
      <w:r>
        <w:rPr>
          <w:bCs/>
          <w:sz w:val="24"/>
          <w:szCs w:val="24"/>
        </w:rPr>
        <w:t xml:space="preserve">ж)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w:t>
      </w:r>
      <w:r>
        <w:rPr>
          <w:sz w:val="24"/>
          <w:szCs w:val="24"/>
        </w:rPr>
        <w:t>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bCs/>
          <w:sz w:val="24"/>
          <w:szCs w:val="24"/>
        </w:rPr>
        <w:t>,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spacing w:lineRule="auto" w:line="240"/>
        <w:ind w:firstLine="709"/>
        <w:rPr>
          <w:bCs/>
          <w:sz w:val="24"/>
          <w:szCs w:val="24"/>
        </w:rPr>
      </w:pPr>
      <w:r>
        <w:rPr>
          <w:bCs/>
          <w:sz w:val="24"/>
          <w:szCs w:val="24"/>
        </w:rPr>
        <w:t>з) условие о рассмотрении споров, возникающих в связи с исполнением обязательств по Независимой гарантии, в Арбитражном суде Хабаровского края;</w:t>
      </w:r>
    </w:p>
    <w:p>
      <w:pPr>
        <w:pStyle w:val="Normal"/>
        <w:spacing w:lineRule="auto" w:line="240"/>
        <w:ind w:firstLine="709"/>
        <w:rPr>
          <w:bCs/>
          <w:sz w:val="24"/>
          <w:szCs w:val="24"/>
        </w:rPr>
      </w:pPr>
      <w:r>
        <w:rPr>
          <w:bCs/>
          <w:sz w:val="24"/>
          <w:szCs w:val="24"/>
        </w:rPr>
        <w:t>и)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указанный бенефициаром в требовании об уплате денежной суммы по Независимой гарантии.</w:t>
      </w:r>
    </w:p>
    <w:p>
      <w:pPr>
        <w:pStyle w:val="Normal"/>
        <w:spacing w:lineRule="auto" w:line="240"/>
        <w:ind w:firstLine="709"/>
        <w:rPr>
          <w:bCs/>
          <w:sz w:val="24"/>
          <w:szCs w:val="24"/>
        </w:rPr>
      </w:pPr>
      <w:r>
        <w:rPr>
          <w:bCs/>
          <w:sz w:val="24"/>
          <w:szCs w:val="24"/>
        </w:rPr>
        <w:t>к) условие, содержащее обязанность гаранта уплатить Заказчику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Заказчиком,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spacing w:lineRule="auto" w:line="240"/>
        <w:ind w:firstLine="709"/>
        <w:rPr>
          <w:bCs/>
          <w:sz w:val="24"/>
          <w:szCs w:val="24"/>
        </w:rPr>
      </w:pPr>
      <w:r>
        <w:rPr>
          <w:bCs/>
          <w:sz w:val="24"/>
          <w:szCs w:val="24"/>
        </w:rPr>
        <w:t>6.8 Независимая гарантия не должна содержать условия:</w:t>
      </w:r>
    </w:p>
    <w:p>
      <w:pPr>
        <w:pStyle w:val="Normal"/>
        <w:spacing w:lineRule="auto" w:line="240"/>
        <w:ind w:firstLine="709"/>
        <w:rPr>
          <w:bCs/>
          <w:sz w:val="24"/>
          <w:szCs w:val="24"/>
        </w:rPr>
      </w:pPr>
      <w:r>
        <w:rPr>
          <w:bCs/>
          <w:sz w:val="24"/>
          <w:szCs w:val="24"/>
        </w:rPr>
        <w:t>а) предусматривающие или влекущие представление Заказчиком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 20;</w:t>
      </w:r>
    </w:p>
    <w:p>
      <w:pPr>
        <w:pStyle w:val="Normal"/>
        <w:spacing w:lineRule="auto" w:line="240"/>
        <w:ind w:firstLine="709"/>
        <w:rPr>
          <w:bCs/>
          <w:sz w:val="24"/>
          <w:szCs w:val="24"/>
        </w:rPr>
      </w:pPr>
      <w:r>
        <w:rPr>
          <w:bCs/>
          <w:sz w:val="24"/>
          <w:szCs w:val="24"/>
        </w:rPr>
        <w:t>б) о праве гаранта отказывать в удовлетворении требования Заказчика об уплате денежной суммы по Независимой гарантии в случае непредставления Заказчиком) гаранту уведомления о нарушении Подрядчиком условий договора или о расторжении договора;</w:t>
      </w:r>
    </w:p>
    <w:p>
      <w:pPr>
        <w:pStyle w:val="Normal"/>
        <w:spacing w:lineRule="auto" w:line="240"/>
        <w:ind w:firstLine="709"/>
        <w:rPr>
          <w:bCs/>
          <w:sz w:val="24"/>
          <w:szCs w:val="24"/>
        </w:rPr>
      </w:pPr>
      <w:r>
        <w:rPr>
          <w:bCs/>
          <w:sz w:val="24"/>
          <w:szCs w:val="24"/>
        </w:rPr>
        <w:t>в) допускающие или влекущие взимание гарантом с Заказчика платы за представление Заказчиком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spacing w:lineRule="auto" w:line="240"/>
        <w:ind w:firstLine="709"/>
        <w:rPr>
          <w:bCs/>
          <w:sz w:val="24"/>
          <w:szCs w:val="24"/>
        </w:rPr>
      </w:pPr>
      <w:r>
        <w:rPr>
          <w:bCs/>
          <w:sz w:val="24"/>
          <w:szCs w:val="24"/>
        </w:rPr>
        <w:t>г) о предоставлении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pPr>
        <w:pStyle w:val="Normal"/>
        <w:spacing w:lineRule="auto" w:line="240"/>
        <w:ind w:firstLine="709"/>
        <w:rPr>
          <w:bCs/>
          <w:sz w:val="24"/>
          <w:szCs w:val="24"/>
        </w:rPr>
      </w:pPr>
      <w:r>
        <w:rPr>
          <w:bCs/>
          <w:sz w:val="24"/>
          <w:szCs w:val="24"/>
        </w:rPr>
        <w:t>6.9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Федеральный закон № 44-ФЗ):</w:t>
      </w:r>
    </w:p>
    <w:p>
      <w:pPr>
        <w:pStyle w:val="Normal"/>
        <w:spacing w:lineRule="auto" w:line="240"/>
        <w:ind w:firstLine="709"/>
        <w:rPr>
          <w:bCs/>
          <w:sz w:val="24"/>
          <w:szCs w:val="24"/>
        </w:rPr>
      </w:pPr>
      <w:r>
        <w:rPr>
          <w:bCs/>
          <w:sz w:val="24"/>
          <w:szCs w:val="24"/>
        </w:rPr>
        <w:t xml:space="preserve">1) банками, соответствующими требованиям, установленным Правительством Российской Федерации, и включенными в перечень, предусмотренный частью 1.2. статьи 45 Федерального закона № 44-ФЗ. </w:t>
      </w:r>
    </w:p>
    <w:p>
      <w:pPr>
        <w:pStyle w:val="Normal"/>
        <w:spacing w:lineRule="auto" w:line="240"/>
        <w:ind w:firstLine="709"/>
        <w:rPr>
          <w:bCs/>
          <w:sz w:val="24"/>
          <w:szCs w:val="24"/>
        </w:rPr>
      </w:pPr>
      <w:r>
        <w:rPr>
          <w:bCs/>
          <w:sz w:val="24"/>
          <w:szCs w:val="24"/>
        </w:rPr>
        <w:t>Актуальный перечень банков размещен на сайте Минфина РФ.  (https://minfin.gov.ru/ru/perfomance/contracts/list_banks/);</w:t>
      </w:r>
    </w:p>
    <w:p>
      <w:pPr>
        <w:pStyle w:val="Normal"/>
        <w:spacing w:lineRule="auto" w:line="240"/>
        <w:ind w:firstLine="709"/>
        <w:rPr>
          <w:bCs/>
          <w:sz w:val="24"/>
          <w:szCs w:val="24"/>
        </w:rPr>
      </w:pPr>
      <w:r>
        <w:rPr>
          <w:bCs/>
          <w:sz w:val="24"/>
          <w:szCs w:val="24"/>
        </w:rPr>
        <w:t>2) государственной корпорацией развития "ВЭБ.РФ";</w:t>
      </w:r>
    </w:p>
    <w:p>
      <w:pPr>
        <w:pStyle w:val="Normal"/>
        <w:spacing w:lineRule="auto" w:line="240"/>
        <w:ind w:firstLine="709"/>
        <w:rPr>
          <w:bCs/>
          <w:sz w:val="24"/>
          <w:szCs w:val="24"/>
        </w:rPr>
      </w:pPr>
      <w:r>
        <w:rPr>
          <w:bCs/>
          <w:sz w:val="24"/>
          <w:szCs w:val="24"/>
        </w:rPr>
        <w:t>3) 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Федеральным законом от 24 июля 2007 года N 209-ФЗ "О развитии малого и среднего предпринимательства в Российской Федерации", соответствующими требованиям, установленным Правительством Российской Федерации, и включенными в перечень, предусмотренный частью 1.7. статьи 45 Федерального закона № 44-ФЗ (при осуществлении закупок в соответствии с пунктом 1 части 1 статьи 30 настоящего Федерального закона).</w:t>
      </w:r>
    </w:p>
    <w:p>
      <w:pPr>
        <w:pStyle w:val="Normal"/>
        <w:spacing w:lineRule="auto" w:line="240"/>
        <w:ind w:firstLine="709"/>
        <w:rPr>
          <w:bCs/>
          <w:sz w:val="24"/>
          <w:szCs w:val="24"/>
        </w:rPr>
      </w:pPr>
      <w:r>
        <w:rPr>
          <w:bCs/>
          <w:sz w:val="24"/>
          <w:szCs w:val="24"/>
        </w:rPr>
        <w:t>Актуальный перечень банков размещен на сайте Минфина РФ.  (https://minfin.gov.ru/ru/perfomance/contracts/list_</w:t>
      </w:r>
      <w:r>
        <w:rPr>
          <w:bCs/>
          <w:sz w:val="24"/>
          <w:szCs w:val="24"/>
          <w:lang w:val="en-US"/>
        </w:rPr>
        <w:t>org</w:t>
      </w:r>
      <w:r>
        <w:rPr>
          <w:bCs/>
          <w:sz w:val="24"/>
          <w:szCs w:val="24"/>
        </w:rPr>
        <w:t>/);</w:t>
      </w:r>
    </w:p>
    <w:p>
      <w:pPr>
        <w:pStyle w:val="Normal"/>
        <w:spacing w:lineRule="auto" w:line="240"/>
        <w:ind w:firstLine="709"/>
        <w:rPr>
          <w:bCs/>
          <w:sz w:val="24"/>
          <w:szCs w:val="24"/>
        </w:rPr>
      </w:pPr>
      <w:r>
        <w:rPr>
          <w:bCs/>
          <w:sz w:val="24"/>
          <w:szCs w:val="24"/>
        </w:rPr>
        <w:t>4) 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pPr>
        <w:pStyle w:val="Normal"/>
        <w:spacing w:lineRule="auto" w:line="240"/>
        <w:ind w:firstLine="709"/>
        <w:rPr>
          <w:bCs/>
          <w:sz w:val="24"/>
          <w:szCs w:val="24"/>
        </w:rPr>
      </w:pPr>
      <w:r>
        <w:rPr>
          <w:bCs/>
          <w:sz w:val="24"/>
          <w:szCs w:val="24"/>
        </w:rPr>
        <w:t xml:space="preserve">6.10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w:t>
      </w:r>
      <w:r>
        <w:rPr>
          <w:sz w:val="24"/>
          <w:szCs w:val="24"/>
        </w:rPr>
        <w:t xml:space="preserve">(начиная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w:t>
      </w:r>
      <w:r>
        <w:rPr>
          <w:bCs/>
          <w:sz w:val="24"/>
          <w:szCs w:val="24"/>
        </w:rPr>
        <w:t>уплатить Заказчику неустойку (пени) в размере 0,1 процента денежной суммы, подлежащей уплате по Независимой гарантии.</w:t>
      </w:r>
    </w:p>
    <w:p>
      <w:pPr>
        <w:pStyle w:val="Normal"/>
        <w:spacing w:lineRule="auto" w:line="240"/>
        <w:ind w:firstLine="709"/>
        <w:rPr>
          <w:bCs/>
          <w:sz w:val="24"/>
          <w:szCs w:val="24"/>
        </w:rPr>
      </w:pPr>
      <w:r>
        <w:rPr>
          <w:bCs/>
          <w:sz w:val="24"/>
          <w:szCs w:val="24"/>
        </w:rPr>
        <w:t>6.11 Условия Независимых гарантий не должны противоречить:</w:t>
      </w:r>
    </w:p>
    <w:p>
      <w:pPr>
        <w:pStyle w:val="Normal"/>
        <w:numPr>
          <w:ilvl w:val="0"/>
          <w:numId w:val="22"/>
        </w:numPr>
        <w:spacing w:lineRule="auto" w:line="240"/>
        <w:ind w:firstLine="709" w:left="0"/>
        <w:rPr>
          <w:bCs/>
          <w:sz w:val="24"/>
          <w:szCs w:val="24"/>
        </w:rPr>
      </w:pPr>
      <w:r>
        <w:rPr>
          <w:bCs/>
          <w:sz w:val="24"/>
          <w:szCs w:val="24"/>
        </w:rPr>
        <w:t xml:space="preserve">положениям извещения об осуществлении конкурентной закупки, </w:t>
      </w:r>
    </w:p>
    <w:p>
      <w:pPr>
        <w:pStyle w:val="Normal"/>
        <w:numPr>
          <w:ilvl w:val="0"/>
          <w:numId w:val="22"/>
        </w:numPr>
        <w:spacing w:lineRule="auto" w:line="240"/>
        <w:ind w:firstLine="709" w:left="0"/>
        <w:rPr>
          <w:bCs/>
          <w:sz w:val="24"/>
          <w:szCs w:val="24"/>
        </w:rPr>
      </w:pPr>
      <w:r>
        <w:rPr>
          <w:bCs/>
          <w:sz w:val="24"/>
          <w:szCs w:val="24"/>
        </w:rPr>
        <w:t xml:space="preserve">документации о конкурентной закупке </w:t>
      </w:r>
    </w:p>
    <w:p>
      <w:pPr>
        <w:pStyle w:val="Normal"/>
        <w:numPr>
          <w:ilvl w:val="0"/>
          <w:numId w:val="22"/>
        </w:numPr>
        <w:spacing w:lineRule="auto" w:line="240"/>
        <w:ind w:firstLine="709" w:left="0"/>
        <w:rPr>
          <w:bCs/>
          <w:sz w:val="24"/>
          <w:szCs w:val="24"/>
        </w:rPr>
      </w:pPr>
      <w:r>
        <w:rPr>
          <w:bCs/>
          <w:sz w:val="24"/>
          <w:szCs w:val="24"/>
        </w:rPr>
        <w:t xml:space="preserve">Единому Положению о закупке продукции для нужд Группы РусГидро, </w:t>
      </w:r>
    </w:p>
    <w:p>
      <w:pPr>
        <w:pStyle w:val="Normal"/>
        <w:numPr>
          <w:ilvl w:val="0"/>
          <w:numId w:val="22"/>
        </w:numPr>
        <w:spacing w:lineRule="auto" w:line="240"/>
        <w:ind w:firstLine="709" w:left="0"/>
        <w:rPr>
          <w:bCs/>
          <w:sz w:val="24"/>
          <w:szCs w:val="24"/>
        </w:rPr>
      </w:pPr>
      <w:r>
        <w:rPr>
          <w:bCs/>
          <w:sz w:val="24"/>
          <w:szCs w:val="24"/>
        </w:rPr>
        <w:t>требованиям к условиям Независимой гарантий, установленным Положением.</w:t>
      </w:r>
    </w:p>
    <w:p>
      <w:pPr>
        <w:pStyle w:val="Normal"/>
        <w:spacing w:lineRule="auto" w:line="240"/>
        <w:ind w:firstLine="709"/>
        <w:rPr>
          <w:bCs/>
          <w:sz w:val="24"/>
          <w:szCs w:val="24"/>
        </w:rPr>
      </w:pPr>
      <w:r>
        <w:rPr>
          <w:bCs/>
          <w:sz w:val="24"/>
          <w:szCs w:val="24"/>
        </w:rPr>
        <w:t>6.12 Несоответствие Независимой гарантии, предоставленной Подрядчиком, вышеперечисленным требованиям, является основанием для отказа в принятии ее Заказчиком.</w:t>
      </w:r>
    </w:p>
    <w:p>
      <w:pPr>
        <w:pStyle w:val="Normal"/>
        <w:spacing w:lineRule="auto" w:line="240"/>
        <w:ind w:firstLine="709"/>
        <w:rPr>
          <w:bCs/>
          <w:sz w:val="24"/>
          <w:szCs w:val="24"/>
        </w:rPr>
      </w:pPr>
      <w:r>
        <w:rPr>
          <w:bCs/>
          <w:sz w:val="24"/>
          <w:szCs w:val="24"/>
        </w:rPr>
        <w:t>6.13 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tabs>
          <w:tab w:val="clear" w:pos="708"/>
          <w:tab w:val="left" w:pos="1134" w:leader="none"/>
        </w:tabs>
        <w:ind w:hanging="0" w:left="0"/>
        <w:jc w:val="both"/>
        <w:rPr>
          <w:bCs/>
        </w:rPr>
      </w:pPr>
      <w:r>
        <w:rPr>
          <w:bCs/>
        </w:rPr>
      </w:r>
    </w:p>
    <w:p>
      <w:pPr>
        <w:pStyle w:val="ListParagraph"/>
        <w:numPr>
          <w:ilvl w:val="0"/>
          <w:numId w:val="3"/>
        </w:numPr>
        <w:tabs>
          <w:tab w:val="clear" w:pos="708"/>
          <w:tab w:val="left" w:pos="284" w:leader="none"/>
        </w:tabs>
        <w:ind w:hanging="0" w:left="0"/>
        <w:jc w:val="center"/>
        <w:rPr>
          <w:b/>
          <w:bCs/>
        </w:rPr>
      </w:pPr>
      <w:r>
        <w:rPr>
          <w:b/>
          <w:bCs/>
        </w:rPr>
        <w:t>Ответственность Сторон</w:t>
      </w:r>
    </w:p>
    <w:p>
      <w:pPr>
        <w:pStyle w:val="Normal"/>
        <w:tabs>
          <w:tab w:val="clear" w:pos="708"/>
          <w:tab w:val="left" w:pos="1134" w:leader="none"/>
        </w:tabs>
        <w:spacing w:lineRule="auto" w:line="240"/>
        <w:ind w:hanging="0" w:left="710"/>
        <w:jc w:val="both"/>
        <w:rPr>
          <w:sz w:val="24"/>
          <w:szCs w:val="24"/>
        </w:rPr>
      </w:pPr>
      <w:r>
        <w:rPr>
          <w:bCs/>
          <w:sz w:val="24"/>
          <w:szCs w:val="24"/>
        </w:rPr>
        <w:t xml:space="preserve">7.1.   За   неисполнение   или   ненадлежащее   исполнение  принятых  обязательств  по </w:t>
      </w:r>
    </w:p>
    <w:p>
      <w:pPr>
        <w:pStyle w:val="Normal"/>
        <w:tabs>
          <w:tab w:val="clear" w:pos="708"/>
          <w:tab w:val="left" w:pos="1134" w:leader="none"/>
        </w:tabs>
        <w:spacing w:lineRule="auto" w:line="240"/>
        <w:ind w:hanging="0" w:left="0"/>
        <w:jc w:val="both"/>
        <w:rPr>
          <w:sz w:val="24"/>
          <w:szCs w:val="24"/>
        </w:rPr>
      </w:pPr>
      <w:r>
        <w:rPr>
          <w:bCs/>
          <w:sz w:val="24"/>
          <w:szCs w:val="24"/>
        </w:rPr>
        <w:t xml:space="preserve">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3"/>
        </w:numPr>
        <w:tabs>
          <w:tab w:val="clear" w:pos="708"/>
          <w:tab w:val="left" w:pos="1134" w:leader="none"/>
        </w:tabs>
        <w:spacing w:lineRule="auto" w:line="240"/>
        <w:ind w:firstLine="710" w:left="0"/>
        <w:rPr>
          <w:sz w:val="24"/>
          <w:szCs w:val="24"/>
        </w:rPr>
      </w:pPr>
      <w:r>
        <w:rPr>
          <w:sz w:val="24"/>
          <w:szCs w:val="24"/>
        </w:rPr>
        <w:t>Неустойка и/или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p>
    <w:p>
      <w:pPr>
        <w:pStyle w:val="Normal"/>
        <w:numPr>
          <w:ilvl w:val="1"/>
          <w:numId w:val="3"/>
        </w:numPr>
        <w:tabs>
          <w:tab w:val="clear" w:pos="708"/>
          <w:tab w:val="left" w:pos="1134" w:leader="none"/>
        </w:tabs>
        <w:spacing w:lineRule="auto" w:line="240"/>
        <w:ind w:firstLine="710" w:left="0"/>
        <w:rPr>
          <w:bCs/>
          <w:sz w:val="24"/>
          <w:szCs w:val="24"/>
          <w:highlight w:val="white"/>
        </w:rPr>
      </w:pPr>
      <w:r>
        <w:rPr>
          <w:bCs/>
          <w:sz w:val="24"/>
          <w:szCs w:val="24"/>
          <w:highlight w:val="white"/>
        </w:rPr>
        <w:t>В случае нарушения Заказчиком сроков оплаты выполненных Работ, Подрядчик вправе потребовать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Normal"/>
        <w:tabs>
          <w:tab w:val="clear" w:pos="708"/>
          <w:tab w:val="left" w:pos="710" w:leader="none"/>
        </w:tabs>
        <w:spacing w:lineRule="auto" w:line="240"/>
        <w:ind w:hanging="0" w:left="709"/>
        <w:rPr>
          <w:sz w:val="24"/>
          <w:szCs w:val="24"/>
        </w:rPr>
      </w:pPr>
      <w:r>
        <w:rPr>
          <w:bCs/>
          <w:sz w:val="24"/>
        </w:rPr>
        <w:t>7.4.</w:t>
      </w:r>
      <w:r>
        <w:rPr>
          <w:sz w:val="24"/>
        </w:rPr>
        <w:t xml:space="preserve"> </w:t>
      </w:r>
      <w:r>
        <w:rPr>
          <w:bCs/>
          <w:sz w:val="24"/>
          <w:szCs w:val="24"/>
        </w:rPr>
        <w:t xml:space="preserve">В случае нарушения Подрядчиком обязательств по выполнению Этапов Работ, а </w:t>
      </w:r>
    </w:p>
    <w:p>
      <w:pPr>
        <w:pStyle w:val="Normal"/>
        <w:tabs>
          <w:tab w:val="clear" w:pos="708"/>
          <w:tab w:val="left" w:pos="710" w:leader="none"/>
        </w:tabs>
        <w:spacing w:lineRule="auto" w:line="240"/>
        <w:ind w:hanging="0"/>
        <w:rPr>
          <w:sz w:val="24"/>
          <w:szCs w:val="24"/>
        </w:rPr>
      </w:pPr>
      <w:r>
        <w:rPr>
          <w:bCs/>
          <w:sz w:val="24"/>
          <w:szCs w:val="24"/>
        </w:rPr>
        <w:t xml:space="preserve">также в случае несвоевременного устранения выявленных недостатков Результата работ, Заказчик вправе требовать уплаты Подрядчиком: </w:t>
      </w:r>
    </w:p>
    <w:p>
      <w:pPr>
        <w:pStyle w:val="Normal"/>
        <w:tabs>
          <w:tab w:val="clear" w:pos="708"/>
          <w:tab w:val="left" w:pos="710" w:leader="none"/>
        </w:tabs>
        <w:spacing w:lineRule="auto" w:line="240"/>
        <w:ind w:firstLine="709"/>
        <w:rPr/>
      </w:pPr>
      <w:r>
        <w:rPr>
          <w:bCs/>
          <w:sz w:val="24"/>
          <w:szCs w:val="24"/>
        </w:rPr>
        <w:t xml:space="preserve">- неустойки в размере 0,1 (ноль целых и две десятых) процента от Цены Этапа Работ за каждый день просрочки выполнения Работ; </w:t>
      </w:r>
    </w:p>
    <w:p>
      <w:pPr>
        <w:pStyle w:val="Normal"/>
        <w:tabs>
          <w:tab w:val="clear" w:pos="708"/>
          <w:tab w:val="left" w:pos="710" w:leader="none"/>
        </w:tabs>
        <w:spacing w:lineRule="auto" w:line="240"/>
        <w:ind w:firstLine="709"/>
        <w:rPr/>
      </w:pPr>
      <w:r>
        <w:rPr>
          <w:bCs/>
          <w:sz w:val="24"/>
          <w:szCs w:val="24"/>
        </w:rPr>
        <w:t xml:space="preserve">-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использования Результата Работ в целом по Договору; </w:t>
      </w:r>
    </w:p>
    <w:p>
      <w:pPr>
        <w:pStyle w:val="Normal"/>
        <w:tabs>
          <w:tab w:val="clear" w:pos="708"/>
          <w:tab w:val="left" w:pos="710" w:leader="none"/>
        </w:tabs>
        <w:spacing w:lineRule="auto" w:line="240"/>
        <w:ind w:firstLine="709"/>
        <w:rPr/>
      </w:pPr>
      <w:r>
        <w:rPr>
          <w:bCs/>
          <w:sz w:val="24"/>
          <w:szCs w:val="24"/>
        </w:rPr>
        <w:t>- неустойки в размере 0,1 (ноль целых и одна десятая) процента от стоимости Этапа Работ за каждый день просрочки в случаях несвоевременного устранения недостатков, не влияющих на возможность использования Результата Работ в целом по Договору.</w:t>
      </w:r>
    </w:p>
    <w:p>
      <w:pPr>
        <w:pStyle w:val="Normal"/>
        <w:spacing w:lineRule="auto" w:line="240"/>
        <w:ind w:firstLine="709"/>
        <w:rPr>
          <w:sz w:val="24"/>
          <w:szCs w:val="24"/>
        </w:rPr>
      </w:pPr>
      <w:r>
        <w:rPr>
          <w:sz w:val="24"/>
          <w:szCs w:val="24"/>
        </w:rPr>
        <w:t>7.5.</w:t>
      </w:r>
      <w:r>
        <w:rPr>
          <w:bCs/>
        </w:rPr>
        <w:t xml:space="preserve"> </w:t>
      </w:r>
      <w:r>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Normal"/>
        <w:tabs>
          <w:tab w:val="clear" w:pos="708"/>
          <w:tab w:val="left" w:pos="1134" w:leader="none"/>
        </w:tabs>
        <w:spacing w:lineRule="auto" w:line="240"/>
        <w:ind w:hanging="0" w:left="709"/>
        <w:rPr>
          <w:sz w:val="24"/>
          <w:szCs w:val="24"/>
        </w:rPr>
      </w:pPr>
      <w:r>
        <w:rPr>
          <w:bCs/>
          <w:sz w:val="24"/>
          <w:szCs w:val="24"/>
        </w:rPr>
        <w:t xml:space="preserve">7.6    Подрядчик несет ответственность за  квалификацию  собственного  и </w:t>
      </w:r>
    </w:p>
    <w:p>
      <w:pPr>
        <w:pStyle w:val="Normal"/>
        <w:tabs>
          <w:tab w:val="clear" w:pos="708"/>
          <w:tab w:val="left" w:pos="1134" w:leader="none"/>
        </w:tabs>
        <w:spacing w:lineRule="auto" w:line="240"/>
        <w:ind w:hanging="0"/>
        <w:rPr>
          <w:sz w:val="24"/>
          <w:szCs w:val="24"/>
        </w:rPr>
      </w:pPr>
      <w:r>
        <w:rPr>
          <w:bCs/>
          <w:sz w:val="24"/>
          <w:szCs w:val="24"/>
        </w:rPr>
        <w:t>привлеченного персонала, организацию выполнения собственным и привлеченным персоналом требований охраны труда, техники безопасности, промышленной, пожарной безопасности, безопасное производство работ на объекте, где производятся работы.</w:t>
      </w:r>
    </w:p>
    <w:p>
      <w:pPr>
        <w:pStyle w:val="ListParagraph"/>
        <w:tabs>
          <w:tab w:val="clear" w:pos="708"/>
          <w:tab w:val="left" w:pos="1134" w:leader="none"/>
        </w:tabs>
        <w:ind w:firstLine="709" w:left="0"/>
        <w:jc w:val="both"/>
        <w:rPr>
          <w:bCs/>
        </w:rPr>
      </w:pPr>
      <w:r>
        <w:rPr>
          <w:bCs/>
        </w:rPr>
        <w:t>В случае выявления нарушений требований охраны труда, промышленной и по</w:t>
      </w:r>
      <w:r>
        <w:rPr>
          <w:bCs/>
          <w:highlight w:val="white"/>
        </w:rPr>
        <w:t>жарной безопасности, составляется совместный Акт, подписываемый обеими Сторонами (Приложение № 7 к настоящему Договору</w:t>
      </w:r>
      <w:r>
        <w:rPr>
          <w:bCs/>
        </w:rPr>
        <w:t>). В случае немотивированного отказа Подрядчика от подписания указанного Акта, Акт считается оформленным надлежащим образом.</w:t>
      </w:r>
    </w:p>
    <w:p>
      <w:pPr>
        <w:pStyle w:val="Normal"/>
        <w:tabs>
          <w:tab w:val="clear" w:pos="708"/>
          <w:tab w:val="left" w:pos="1134" w:leader="none"/>
        </w:tabs>
        <w:spacing w:lineRule="auto" w:line="240"/>
        <w:ind w:hanging="0" w:left="709"/>
        <w:rPr>
          <w:sz w:val="24"/>
          <w:szCs w:val="24"/>
        </w:rPr>
      </w:pPr>
      <w:r>
        <w:rPr>
          <w:bCs/>
          <w:sz w:val="24"/>
          <w:szCs w:val="24"/>
        </w:rPr>
        <w:t xml:space="preserve">7.7  </w:t>
      </w:r>
      <w:r>
        <w:rPr>
          <w:bCs/>
        </w:rPr>
        <w:t xml:space="preserve">   </w:t>
      </w:r>
      <w:r>
        <w:rPr>
          <w:bCs/>
          <w:sz w:val="24"/>
          <w:szCs w:val="24"/>
        </w:rPr>
        <w:t xml:space="preserve">В случае нарушения Подрядчиком или привлеченными им Субподрядчиками </w:t>
      </w:r>
    </w:p>
    <w:p>
      <w:pPr>
        <w:pStyle w:val="Normal"/>
        <w:tabs>
          <w:tab w:val="clear" w:pos="708"/>
          <w:tab w:val="left" w:pos="1134" w:leader="none"/>
        </w:tabs>
        <w:spacing w:lineRule="auto" w:line="240"/>
        <w:ind w:hanging="0"/>
        <w:rPr>
          <w:sz w:val="24"/>
          <w:szCs w:val="24"/>
        </w:rPr>
      </w:pPr>
      <w:r>
        <w:rPr>
          <w:bCs/>
          <w:sz w:val="24"/>
          <w:szCs w:val="24"/>
        </w:rPr>
        <w:t>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w:t>
      </w:r>
      <w:r>
        <w:rPr>
          <w:bCs/>
          <w:sz w:val="24"/>
          <w:szCs w:val="24"/>
          <w:highlight w:val="white"/>
        </w:rPr>
        <w:t xml:space="preserve">ных Приложением № 6 к </w:t>
      </w:r>
      <w:r>
        <w:rPr>
          <w:bCs/>
          <w:sz w:val="24"/>
          <w:szCs w:val="24"/>
        </w:rPr>
        <w:t>Договору.</w:t>
      </w:r>
    </w:p>
    <w:p>
      <w:pPr>
        <w:pStyle w:val="Normal"/>
        <w:spacing w:lineRule="auto" w:line="240"/>
        <w:ind w:hanging="0"/>
        <w:rPr>
          <w:bCs/>
          <w:sz w:val="24"/>
          <w:szCs w:val="24"/>
        </w:rPr>
      </w:pPr>
      <w:r>
        <w:rPr>
          <w:bCs/>
        </w:rPr>
        <w:t xml:space="preserve">          </w:t>
      </w:r>
      <w:r>
        <w:rPr>
          <w:bCs/>
          <w:sz w:val="24"/>
          <w:szCs w:val="24"/>
        </w:rPr>
        <w:t>7.8 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w:t>
      </w:r>
      <w:r>
        <w:rPr>
          <w:bCs/>
          <w:sz w:val="24"/>
          <w:szCs w:val="24"/>
          <w:highlight w:val="white"/>
        </w:rPr>
        <w:t xml:space="preserve"> пунктом 4.12 Догово</w:t>
      </w:r>
      <w:r>
        <w:rPr>
          <w:bCs/>
          <w:sz w:val="24"/>
          <w:szCs w:val="24"/>
        </w:rPr>
        <w:t>ра, Заказчик вправе требовать уплаты Подрядчиком штрафа в размере 50 000 (пятидесяти тысяч) рублей за каждый случай нарушения.</w:t>
      </w:r>
    </w:p>
    <w:p>
      <w:pPr>
        <w:pStyle w:val="Normal"/>
        <w:tabs>
          <w:tab w:val="clear" w:pos="708"/>
          <w:tab w:val="left" w:pos="1080" w:leader="none"/>
          <w:tab w:val="left" w:pos="1140" w:leader="none"/>
        </w:tabs>
        <w:spacing w:lineRule="auto" w:line="240"/>
        <w:ind w:hanging="0" w:left="709"/>
        <w:rPr>
          <w:sz w:val="24"/>
          <w:szCs w:val="24"/>
        </w:rPr>
      </w:pPr>
      <w:r>
        <w:rPr>
          <w:bCs/>
          <w:sz w:val="24"/>
          <w:szCs w:val="24"/>
        </w:rPr>
        <w:t>7.9      За непредоставление либо несвоевременное предоставление / переоформление</w:t>
      </w:r>
    </w:p>
    <w:p>
      <w:pPr>
        <w:pStyle w:val="Normal"/>
        <w:tabs>
          <w:tab w:val="clear" w:pos="708"/>
          <w:tab w:val="left" w:pos="1134" w:leader="none"/>
        </w:tabs>
        <w:spacing w:lineRule="auto" w:line="240"/>
        <w:ind w:hanging="0"/>
        <w:rPr/>
      </w:pPr>
      <w:r>
        <w:rPr>
          <w:bCs/>
          <w:sz w:val="24"/>
          <w:szCs w:val="24"/>
        </w:rPr>
        <w:t xml:space="preserve">Подрядчиком Независимых гарантий, предусмотренных Договором, в порядке и сроки, установленные разделом 6 Договора, Заказчик имеет право начислять пени в размере 0,03 (ноль целях три сотых) % от цены Договора за каждый день просрочки. </w:t>
      </w:r>
    </w:p>
    <w:p>
      <w:pPr>
        <w:pStyle w:val="Normal"/>
        <w:tabs>
          <w:tab w:val="clear" w:pos="708"/>
          <w:tab w:val="left" w:pos="1134" w:leader="none"/>
        </w:tabs>
        <w:spacing w:lineRule="auto" w:line="240"/>
        <w:ind w:hanging="0" w:left="709"/>
        <w:rPr>
          <w:sz w:val="24"/>
          <w:szCs w:val="24"/>
        </w:rPr>
      </w:pPr>
      <w:r>
        <w:rPr>
          <w:bCs/>
          <w:sz w:val="24"/>
          <w:szCs w:val="24"/>
        </w:rPr>
        <w:t xml:space="preserve">7.10    Обязанность   по   уплате  неустойки  и  /  или  штрафов,  возмещения  убытков, </w:t>
      </w:r>
    </w:p>
    <w:p>
      <w:pPr>
        <w:pStyle w:val="Normal"/>
        <w:tabs>
          <w:tab w:val="clear" w:pos="708"/>
          <w:tab w:val="left" w:pos="1134" w:leader="none"/>
        </w:tabs>
        <w:spacing w:lineRule="auto" w:line="240"/>
        <w:ind w:hanging="0"/>
        <w:rPr/>
      </w:pPr>
      <w:r>
        <w:rPr>
          <w:bCs/>
          <w:sz w:val="24"/>
          <w:szCs w:val="24"/>
        </w:rPr>
        <w:t xml:space="preserve">предусмотренных Договором, возникает у любой из Сторон только при условии получения письменного требования другой Стороны. </w:t>
      </w:r>
      <w:r>
        <w:rPr>
          <w:bCs/>
        </w:rPr>
        <w:t xml:space="preserve">  </w:t>
      </w:r>
    </w:p>
    <w:p>
      <w:pPr>
        <w:pStyle w:val="Normal"/>
        <w:tabs>
          <w:tab w:val="clear" w:pos="708"/>
          <w:tab w:val="left" w:pos="1134" w:leader="none"/>
        </w:tabs>
        <w:spacing w:lineRule="auto" w:line="240"/>
        <w:ind w:firstLine="709"/>
        <w:rPr>
          <w:bCs/>
        </w:rPr>
      </w:pPr>
      <w:r>
        <w:rPr>
          <w:bCs/>
          <w:sz w:val="24"/>
          <w:szCs w:val="24"/>
        </w:rPr>
        <w:t xml:space="preserve">7.11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 </w:t>
      </w:r>
    </w:p>
    <w:p>
      <w:pPr>
        <w:pStyle w:val="Normal"/>
        <w:tabs>
          <w:tab w:val="clear" w:pos="708"/>
          <w:tab w:val="left" w:pos="1134" w:leader="none"/>
        </w:tabs>
        <w:spacing w:lineRule="auto" w:line="240"/>
        <w:ind w:firstLine="709"/>
        <w:rPr>
          <w:bCs/>
          <w:sz w:val="24"/>
          <w:szCs w:val="24"/>
        </w:rPr>
      </w:pPr>
      <w:r>
        <w:rPr>
          <w:bCs/>
          <w:sz w:val="24"/>
          <w:szCs w:val="24"/>
        </w:rPr>
        <w:t xml:space="preserve">7.12   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 </w:t>
      </w:r>
    </w:p>
    <w:p>
      <w:pPr>
        <w:pStyle w:val="ListParagraph"/>
        <w:numPr>
          <w:ilvl w:val="1"/>
          <w:numId w:val="24"/>
        </w:numPr>
        <w:ind w:firstLine="709" w:left="0"/>
        <w:jc w:val="both"/>
        <w:rPr>
          <w:bCs/>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t xml:space="preserve"> </w:t>
      </w:r>
      <w:r>
        <w:rPr>
          <w:bCs/>
        </w:rPr>
        <w:t xml:space="preserve">сумма неустойки, подлежащая уплате виновной Стороной, определяется на основании решения суда.  </w:t>
      </w:r>
    </w:p>
    <w:p>
      <w:pPr>
        <w:pStyle w:val="ListParagraph"/>
        <w:numPr>
          <w:ilvl w:val="1"/>
          <w:numId w:val="24"/>
        </w:numPr>
        <w:ind w:firstLine="709" w:left="0"/>
        <w:jc w:val="both"/>
        <w:rPr>
          <w:bCs/>
        </w:rPr>
      </w:pPr>
      <w:r>
        <w:rPr>
          <w:bCs/>
        </w:rPr>
        <w:t xml:space="preserve">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и потребовать возврата уплаченных денежных средств. </w:t>
      </w:r>
    </w:p>
    <w:p>
      <w:pPr>
        <w:pStyle w:val="ListParagraph"/>
        <w:tabs>
          <w:tab w:val="clear" w:pos="708"/>
          <w:tab w:val="left" w:pos="284" w:leader="none"/>
        </w:tabs>
        <w:ind w:hanging="0" w:left="0"/>
        <w:rPr>
          <w:b/>
          <w:bCs/>
        </w:rPr>
      </w:pPr>
      <w:r>
        <w:rPr>
          <w:b/>
          <w:bCs/>
        </w:rPr>
      </w:r>
    </w:p>
    <w:p>
      <w:pPr>
        <w:pStyle w:val="ListParagraph"/>
        <w:numPr>
          <w:ilvl w:val="0"/>
          <w:numId w:val="3"/>
        </w:numPr>
        <w:tabs>
          <w:tab w:val="clear" w:pos="708"/>
          <w:tab w:val="left" w:pos="284" w:leader="none"/>
        </w:tabs>
        <w:ind w:hanging="0" w:left="0"/>
        <w:jc w:val="center"/>
        <w:rPr>
          <w:b/>
          <w:bCs/>
        </w:rPr>
      </w:pPr>
      <w:r>
        <w:rPr>
          <w:b/>
          <w:bCs/>
        </w:rPr>
        <w:t>Гарантии качества Результата работ</w:t>
      </w:r>
    </w:p>
    <w:p>
      <w:pPr>
        <w:pStyle w:val="Normal"/>
        <w:tabs>
          <w:tab w:val="clear" w:pos="708"/>
          <w:tab w:val="left" w:pos="1134" w:leader="none"/>
        </w:tabs>
        <w:spacing w:lineRule="auto" w:line="240"/>
        <w:ind w:hanging="0" w:left="709"/>
        <w:rPr>
          <w:sz w:val="24"/>
          <w:szCs w:val="24"/>
        </w:rPr>
      </w:pPr>
      <w:bookmarkStart w:id="26" w:name="_Ref361337777"/>
      <w:r>
        <w:rPr>
          <w:sz w:val="24"/>
          <w:szCs w:val="24"/>
        </w:rPr>
        <w:t xml:space="preserve">8.1.    </w:t>
      </w:r>
      <w:r>
        <w:rPr>
          <w:sz w:val="24"/>
          <w:szCs w:val="24"/>
          <w:highlight w:val="white"/>
        </w:rPr>
        <w:t xml:space="preserve"> Гарантийный</w:t>
      </w:r>
      <w:r>
        <w:rPr>
          <w:bCs/>
          <w:sz w:val="24"/>
          <w:szCs w:val="24"/>
          <w:highlight w:val="white"/>
        </w:rPr>
        <w:t xml:space="preserve">  срок   по   </w:t>
      </w:r>
      <w:r>
        <w:rPr>
          <w:bCs/>
          <w:sz w:val="24"/>
          <w:szCs w:val="24"/>
        </w:rPr>
        <w:t xml:space="preserve">Договору   составляет </w:t>
      </w:r>
      <w:r>
        <w:rPr>
          <w:sz w:val="24"/>
          <w:szCs w:val="24"/>
          <w:u w:val="single"/>
        </w:rPr>
        <w:t xml:space="preserve"> 24</w:t>
      </w:r>
      <w:r>
        <w:rPr>
          <w:sz w:val="24"/>
          <w:szCs w:val="24"/>
        </w:rPr>
        <w:t>_</w:t>
      </w:r>
      <w:r>
        <w:rPr>
          <w:bCs/>
          <w:sz w:val="24"/>
          <w:szCs w:val="24"/>
        </w:rPr>
        <w:t>(</w:t>
      </w:r>
      <w:r>
        <w:rPr>
          <w:bCs/>
          <w:sz w:val="24"/>
          <w:szCs w:val="24"/>
          <w:u w:val="single"/>
        </w:rPr>
        <w:t>двадцать четыре</w:t>
      </w:r>
      <w:r>
        <w:rPr>
          <w:bCs/>
          <w:sz w:val="24"/>
          <w:szCs w:val="24"/>
        </w:rPr>
        <w:t>)</w:t>
      </w:r>
      <w:r>
        <w:rPr>
          <w:sz w:val="24"/>
          <w:szCs w:val="24"/>
        </w:rPr>
        <w:t xml:space="preserve">  месяца</w:t>
      </w:r>
      <w:r>
        <w:rPr>
          <w:bCs/>
          <w:sz w:val="24"/>
          <w:szCs w:val="24"/>
        </w:rPr>
        <w:t xml:space="preserve">  и </w:t>
      </w:r>
    </w:p>
    <w:p>
      <w:pPr>
        <w:pStyle w:val="Normal"/>
        <w:tabs>
          <w:tab w:val="clear" w:pos="708"/>
          <w:tab w:val="left" w:pos="1134" w:leader="none"/>
        </w:tabs>
        <w:spacing w:lineRule="auto" w:line="240"/>
        <w:ind w:hanging="0" w:left="0"/>
        <w:rPr>
          <w:sz w:val="24"/>
          <w:szCs w:val="24"/>
        </w:rPr>
      </w:pPr>
      <w:r>
        <w:rPr>
          <w:bCs/>
          <w:sz w:val="24"/>
          <w:szCs w:val="24"/>
        </w:rPr>
        <w:t>начинает течь с даты подписания Сторонами А</w:t>
      </w:r>
      <w:r>
        <w:rPr>
          <w:sz w:val="24"/>
          <w:szCs w:val="24"/>
        </w:rPr>
        <w:t>кта КС-11</w:t>
      </w:r>
      <w:r>
        <w:rPr>
          <w:bCs/>
          <w:sz w:val="24"/>
          <w:szCs w:val="24"/>
        </w:rPr>
        <w:t xml:space="preserve"> </w:t>
      </w:r>
      <w:bookmarkEnd w:id="26"/>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3"/>
        </w:numPr>
        <w:tabs>
          <w:tab w:val="clear" w:pos="708"/>
          <w:tab w:val="left" w:pos="568" w:leader="none"/>
          <w:tab w:val="left" w:pos="1134" w:leader="none"/>
        </w:tabs>
        <w:ind w:firstLine="709" w:left="0"/>
        <w:jc w:val="both"/>
        <w:rPr>
          <w:bCs/>
        </w:rPr>
      </w:pPr>
      <w:r>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3"/>
        </w:numPr>
        <w:tabs>
          <w:tab w:val="clear" w:pos="708"/>
          <w:tab w:val="left" w:pos="1134" w:leader="none"/>
        </w:tabs>
        <w:ind w:firstLine="709" w:left="0"/>
        <w:jc w:val="both"/>
        <w:rPr>
          <w:bCs/>
        </w:rPr>
      </w:pPr>
      <w:r>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p>
    <w:p>
      <w:pPr>
        <w:pStyle w:val="ListParagraph"/>
        <w:numPr>
          <w:ilvl w:val="1"/>
          <w:numId w:val="3"/>
        </w:numPr>
        <w:tabs>
          <w:tab w:val="clear" w:pos="708"/>
          <w:tab w:val="left" w:pos="1134" w:leader="none"/>
        </w:tabs>
        <w:ind w:firstLine="709" w:left="0"/>
        <w:jc w:val="both"/>
        <w:rPr>
          <w:bCs/>
        </w:rPr>
      </w:pPr>
      <w:bookmarkStart w:id="27"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7"/>
      <w:r>
        <w:rPr>
          <w:bCs/>
        </w:rPr>
        <w:t xml:space="preserve"> </w:t>
      </w:r>
    </w:p>
    <w:p>
      <w:pPr>
        <w:pStyle w:val="ListParagraph"/>
        <w:numPr>
          <w:ilvl w:val="1"/>
          <w:numId w:val="3"/>
        </w:numPr>
        <w:tabs>
          <w:tab w:val="clear" w:pos="708"/>
          <w:tab w:val="left" w:pos="1134" w:leader="none"/>
        </w:tabs>
        <w:ind w:firstLine="709" w:left="0"/>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3"/>
        </w:numPr>
        <w:tabs>
          <w:tab w:val="clear" w:pos="708"/>
          <w:tab w:val="left" w:pos="1134" w:leader="none"/>
        </w:tabs>
        <w:ind w:firstLine="709" w:left="0"/>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8" w:name="OLE_LINK5"/>
      <w:bookmarkStart w:id="29" w:name="OLE_LINK6"/>
      <w:r>
        <w:rPr>
          <w:bCs/>
        </w:rPr>
        <w:t>Акте о недостатках, составленном в порядке, установленном пунктом 8.5 Договора</w:t>
      </w:r>
      <w:bookmarkEnd w:id="28"/>
      <w:bookmarkEnd w:id="29"/>
      <w:r>
        <w:rPr>
          <w:bCs/>
        </w:rPr>
        <w:t>.</w:t>
      </w:r>
      <w:r>
        <w:rPr/>
        <w:t xml:space="preserve"> </w:t>
      </w:r>
    </w:p>
    <w:p>
      <w:pPr>
        <w:pStyle w:val="ListParagraph"/>
        <w:numPr>
          <w:ilvl w:val="1"/>
          <w:numId w:val="3"/>
        </w:numPr>
        <w:tabs>
          <w:tab w:val="clear" w:pos="708"/>
          <w:tab w:val="left" w:pos="1134" w:leader="none"/>
        </w:tabs>
        <w:ind w:firstLine="709" w:left="0"/>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3"/>
        </w:numPr>
        <w:tabs>
          <w:tab w:val="clear" w:pos="708"/>
          <w:tab w:val="left" w:pos="1134" w:leader="none"/>
        </w:tabs>
        <w:ind w:firstLine="709" w:left="0"/>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3"/>
        </w:numPr>
        <w:tabs>
          <w:tab w:val="clear" w:pos="708"/>
          <w:tab w:val="left" w:pos="1134" w:leader="none"/>
        </w:tabs>
        <w:ind w:firstLine="709" w:left="0"/>
        <w:jc w:val="both"/>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tabs>
          <w:tab w:val="clear" w:pos="708"/>
          <w:tab w:val="left" w:pos="566" w:leader="none"/>
        </w:tabs>
        <w:spacing w:lineRule="auto" w:line="240"/>
        <w:ind w:hanging="0"/>
        <w:rPr>
          <w:sz w:val="24"/>
          <w:szCs w:val="24"/>
        </w:rPr>
      </w:pPr>
      <w:r>
        <w:rPr>
          <w:sz w:val="24"/>
          <w:szCs w:val="24"/>
        </w:rPr>
      </w:r>
    </w:p>
    <w:p>
      <w:pPr>
        <w:pStyle w:val="ListParagraph"/>
        <w:numPr>
          <w:ilvl w:val="0"/>
          <w:numId w:val="3"/>
        </w:numPr>
        <w:tabs>
          <w:tab w:val="clear" w:pos="708"/>
          <w:tab w:val="left" w:pos="426" w:leader="none"/>
        </w:tabs>
        <w:ind w:hanging="0" w:left="0"/>
        <w:jc w:val="center"/>
        <w:rPr>
          <w:b/>
          <w:bCs/>
        </w:rPr>
      </w:pPr>
      <w:r>
        <w:rPr>
          <w:b/>
          <w:bCs/>
        </w:rPr>
        <w:t>Исключительные права и патенты</w:t>
      </w:r>
    </w:p>
    <w:p>
      <w:pPr>
        <w:pStyle w:val="Normal"/>
        <w:tabs>
          <w:tab w:val="clear" w:pos="708"/>
          <w:tab w:val="left" w:pos="1134" w:leader="none"/>
        </w:tabs>
        <w:spacing w:lineRule="auto" w:line="240"/>
        <w:ind w:hanging="0" w:left="709"/>
        <w:jc w:val="both"/>
        <w:rPr>
          <w:sz w:val="24"/>
          <w:szCs w:val="24"/>
        </w:rPr>
      </w:pPr>
      <w:r>
        <w:rPr>
          <w:bCs/>
          <w:sz w:val="24"/>
          <w:szCs w:val="24"/>
        </w:rPr>
        <w:t xml:space="preserve">9.1.  </w:t>
      </w:r>
      <w:r>
        <w:rPr>
          <w:bCs/>
          <w:sz w:val="24"/>
          <w:szCs w:val="24"/>
          <w:highlight w:val="white"/>
        </w:rPr>
        <w:t xml:space="preserve"> Подрядчик  </w:t>
      </w:r>
      <w:r>
        <w:rPr>
          <w:bCs/>
          <w:sz w:val="24"/>
          <w:szCs w:val="24"/>
        </w:rPr>
        <w:t xml:space="preserve">гарантирует,  что выполнение Работ, предусмотренных Договором, а </w:t>
      </w:r>
    </w:p>
    <w:p>
      <w:pPr>
        <w:pStyle w:val="Normal"/>
        <w:tabs>
          <w:tab w:val="clear" w:pos="708"/>
          <w:tab w:val="left" w:pos="1134" w:leader="none"/>
        </w:tabs>
        <w:spacing w:lineRule="auto" w:line="240"/>
        <w:ind w:hanging="0" w:left="0"/>
        <w:jc w:val="both"/>
        <w:rPr>
          <w:sz w:val="24"/>
          <w:szCs w:val="24"/>
        </w:rPr>
      </w:pPr>
      <w:r>
        <w:rPr>
          <w:bCs/>
          <w:sz w:val="24"/>
          <w:szCs w:val="24"/>
        </w:rPr>
        <w:t>также передача Заказчику Результата работ не нарушит исключительных и иных интеллектуальных прав третьих лиц</w:t>
      </w:r>
      <w:r>
        <w:rPr>
          <w:sz w:val="24"/>
          <w:szCs w:val="24"/>
        </w:rPr>
        <w:t xml:space="preserve"> </w:t>
      </w:r>
      <w:r>
        <w:rPr>
          <w:bCs/>
          <w:sz w:val="24"/>
          <w:szCs w:val="24"/>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3"/>
        </w:numPr>
        <w:tabs>
          <w:tab w:val="clear" w:pos="708"/>
          <w:tab w:val="left" w:pos="1134" w:leader="none"/>
        </w:tabs>
        <w:ind w:firstLine="709" w:left="0"/>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3"/>
        </w:numPr>
        <w:tabs>
          <w:tab w:val="clear" w:pos="708"/>
          <w:tab w:val="left" w:pos="1134" w:leader="none"/>
        </w:tabs>
        <w:ind w:firstLine="709" w:left="0"/>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3"/>
        </w:numPr>
        <w:tabs>
          <w:tab w:val="clear" w:pos="708"/>
          <w:tab w:val="left" w:pos="1134" w:leader="none"/>
        </w:tabs>
        <w:ind w:firstLine="709" w:left="0"/>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3"/>
        </w:numPr>
        <w:tabs>
          <w:tab w:val="clear" w:pos="708"/>
          <w:tab w:val="left" w:pos="1134" w:leader="none"/>
        </w:tabs>
        <w:ind w:firstLine="709" w:left="0"/>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tabs>
          <w:tab w:val="clear" w:pos="708"/>
          <w:tab w:val="left" w:pos="1134" w:leader="none"/>
        </w:tabs>
        <w:ind w:firstLine="709" w:left="0"/>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3"/>
        </w:numPr>
        <w:tabs>
          <w:tab w:val="clear" w:pos="708"/>
          <w:tab w:val="left" w:pos="1134" w:leader="none"/>
        </w:tabs>
        <w:ind w:firstLine="709" w:left="0"/>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3"/>
        </w:numPr>
        <w:tabs>
          <w:tab w:val="clear" w:pos="708"/>
          <w:tab w:val="left" w:pos="1134" w:leader="none"/>
        </w:tabs>
        <w:ind w:firstLine="709" w:left="0"/>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tabs>
          <w:tab w:val="clear" w:pos="708"/>
          <w:tab w:val="left" w:pos="1134" w:leader="none"/>
        </w:tabs>
        <w:ind w:hanging="0" w:left="0"/>
        <w:jc w:val="both"/>
        <w:rPr>
          <w:bCs/>
        </w:rPr>
      </w:pPr>
      <w:r>
        <w:rPr>
          <w:bCs/>
        </w:rPr>
      </w:r>
    </w:p>
    <w:p>
      <w:pPr>
        <w:pStyle w:val="ListParagraph"/>
        <w:numPr>
          <w:ilvl w:val="0"/>
          <w:numId w:val="3"/>
        </w:numPr>
        <w:tabs>
          <w:tab w:val="clear" w:pos="708"/>
          <w:tab w:val="left" w:pos="426" w:leader="none"/>
        </w:tabs>
        <w:ind w:hanging="0" w:left="0"/>
        <w:jc w:val="center"/>
        <w:rPr>
          <w:b/>
          <w:bCs/>
        </w:rPr>
      </w:pPr>
      <w:r>
        <w:rPr>
          <w:b/>
          <w:bCs/>
        </w:rPr>
        <w:t>Конфиденциальность</w:t>
      </w:r>
    </w:p>
    <w:p>
      <w:pPr>
        <w:pStyle w:val="Normal"/>
        <w:tabs>
          <w:tab w:val="clear" w:pos="708"/>
          <w:tab w:val="left" w:pos="1134" w:leader="none"/>
        </w:tabs>
        <w:spacing w:lineRule="auto" w:line="240"/>
        <w:ind w:hanging="0" w:left="709"/>
        <w:jc w:val="both"/>
        <w:rPr>
          <w:sz w:val="24"/>
          <w:szCs w:val="24"/>
        </w:rPr>
      </w:pPr>
      <w:r>
        <w:rPr>
          <w:bCs/>
          <w:sz w:val="24"/>
          <w:szCs w:val="24"/>
        </w:rPr>
        <w:t xml:space="preserve">10.1.    Под    конфиденциальной   информацией  (далее – «Информация»)   для   целей </w:t>
      </w:r>
    </w:p>
    <w:p>
      <w:pPr>
        <w:pStyle w:val="Normal"/>
        <w:tabs>
          <w:tab w:val="clear" w:pos="708"/>
          <w:tab w:val="left" w:pos="1134" w:leader="none"/>
        </w:tabs>
        <w:spacing w:lineRule="auto" w:line="240"/>
        <w:ind w:hanging="0" w:left="0"/>
        <w:jc w:val="both"/>
        <w:rPr/>
      </w:pPr>
      <w:r>
        <w:rPr>
          <w:bCs/>
          <w:sz w:val="24"/>
          <w:szCs w:val="24"/>
        </w:rPr>
        <w:t>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w:t>
      </w:r>
      <w:r>
        <w:rPr>
          <w:bCs/>
        </w:rPr>
        <w:t>вия:</w:t>
      </w:r>
    </w:p>
    <w:p>
      <w:pPr>
        <w:pStyle w:val="Normal"/>
        <w:numPr>
          <w:ilvl w:val="0"/>
          <w:numId w:val="5"/>
        </w:numPr>
        <w:tabs>
          <w:tab w:val="clear" w:pos="708"/>
          <w:tab w:val="left" w:pos="709" w:leader="none"/>
          <w:tab w:val="left" w:pos="1418" w:leader="none"/>
        </w:tabs>
        <w:spacing w:lineRule="auto" w:line="240"/>
        <w:ind w:firstLine="709" w:left="0"/>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5"/>
        </w:numPr>
        <w:tabs>
          <w:tab w:val="clear" w:pos="708"/>
          <w:tab w:val="left" w:pos="709" w:leader="none"/>
          <w:tab w:val="left" w:pos="1418" w:leader="none"/>
        </w:tabs>
        <w:spacing w:lineRule="auto" w:line="240"/>
        <w:ind w:firstLine="709" w:left="0"/>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3"/>
        </w:numPr>
        <w:tabs>
          <w:tab w:val="clear" w:pos="708"/>
          <w:tab w:val="left" w:pos="1134" w:leader="none"/>
        </w:tabs>
        <w:ind w:firstLine="709" w:left="0"/>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3"/>
        </w:numPr>
        <w:tabs>
          <w:tab w:val="clear" w:pos="708"/>
          <w:tab w:val="left" w:pos="1134" w:leader="none"/>
        </w:tabs>
        <w:ind w:firstLine="709" w:left="0"/>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3"/>
        </w:numPr>
        <w:tabs>
          <w:tab w:val="clear" w:pos="708"/>
          <w:tab w:val="left" w:pos="1134" w:leader="none"/>
        </w:tabs>
        <w:ind w:firstLine="709" w:left="0"/>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3"/>
        </w:numPr>
        <w:tabs>
          <w:tab w:val="clear" w:pos="708"/>
          <w:tab w:val="left" w:pos="1134" w:leader="none"/>
        </w:tabs>
        <w:ind w:firstLine="709" w:left="0"/>
        <w:jc w:val="both"/>
        <w:rPr>
          <w:bCs/>
        </w:rPr>
      </w:pPr>
      <w:r>
        <w:rPr>
          <w:bCs/>
        </w:rPr>
        <w:t>Информация может включать в себя, в том числе, но не ограничиваясь:</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учетные регистры бухгалтерского учета;</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бизнес-планы;</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5"/>
        </w:numPr>
        <w:tabs>
          <w:tab w:val="clear" w:pos="708"/>
          <w:tab w:val="left" w:pos="1418" w:leader="none"/>
        </w:tabs>
        <w:spacing w:lineRule="auto" w:line="240"/>
        <w:ind w:firstLine="709" w:left="0"/>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3"/>
        </w:numPr>
        <w:tabs>
          <w:tab w:val="clear" w:pos="708"/>
          <w:tab w:val="left" w:pos="1134" w:leader="none"/>
        </w:tabs>
        <w:ind w:firstLine="709" w:left="0"/>
        <w:jc w:val="both"/>
        <w:rPr>
          <w:bCs/>
        </w:rPr>
      </w:pPr>
      <w:bookmarkStart w:id="30"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30"/>
      <w:r>
        <w:rPr>
          <w:bCs/>
        </w:rPr>
        <w:t xml:space="preserve"> </w:t>
      </w:r>
    </w:p>
    <w:p>
      <w:pPr>
        <w:pStyle w:val="ListParagraph"/>
        <w:numPr>
          <w:ilvl w:val="2"/>
          <w:numId w:val="3"/>
        </w:numPr>
        <w:tabs>
          <w:tab w:val="clear" w:pos="708"/>
          <w:tab w:val="left" w:pos="1701" w:leader="none"/>
        </w:tabs>
        <w:ind w:firstLine="709" w:left="0"/>
        <w:jc w:val="both"/>
        <w:rPr>
          <w:bCs/>
        </w:rPr>
      </w:pPr>
      <w:r>
        <w:rPr>
          <w:bCs/>
        </w:rPr>
        <w:t>-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3"/>
        </w:numPr>
        <w:tabs>
          <w:tab w:val="clear" w:pos="708"/>
          <w:tab w:val="left" w:pos="1701" w:leader="none"/>
        </w:tabs>
        <w:ind w:firstLine="709" w:left="0"/>
        <w:jc w:val="both"/>
        <w:rPr>
          <w:bCs/>
        </w:rPr>
      </w:pPr>
      <w:r>
        <w:rPr>
          <w:bCs/>
        </w:rPr>
        <w:t>- 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3"/>
        </w:numPr>
        <w:tabs>
          <w:tab w:val="clear" w:pos="708"/>
          <w:tab w:val="left" w:pos="1701" w:leader="none"/>
        </w:tabs>
        <w:ind w:firstLine="709" w:left="0"/>
        <w:jc w:val="both"/>
        <w:rPr>
          <w:bCs/>
        </w:rPr>
      </w:pPr>
      <w:r>
        <w:rPr>
          <w:bCs/>
        </w:rPr>
        <w:t xml:space="preserve">- использовать Информацию исключительно для целей, для которых она была предоставлена; </w:t>
      </w:r>
    </w:p>
    <w:p>
      <w:pPr>
        <w:pStyle w:val="ListParagraph"/>
        <w:numPr>
          <w:ilvl w:val="2"/>
          <w:numId w:val="3"/>
        </w:numPr>
        <w:tabs>
          <w:tab w:val="clear" w:pos="708"/>
          <w:tab w:val="left" w:pos="1701" w:leader="none"/>
        </w:tabs>
        <w:ind w:firstLine="709" w:left="0"/>
        <w:jc w:val="both"/>
        <w:rPr>
          <w:bCs/>
        </w:rPr>
      </w:pPr>
      <w:r>
        <w:rPr>
          <w:bCs/>
        </w:rPr>
        <w:t xml:space="preserve">- 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3"/>
        </w:numPr>
        <w:tabs>
          <w:tab w:val="clear" w:pos="708"/>
          <w:tab w:val="left" w:pos="1701" w:leader="none"/>
        </w:tabs>
        <w:ind w:firstLine="709" w:left="0"/>
        <w:jc w:val="both"/>
        <w:rPr>
          <w:bCs/>
        </w:rPr>
      </w:pPr>
      <w:r>
        <w:rPr>
          <w:bCs/>
        </w:rPr>
        <w:t>-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3"/>
        </w:numPr>
        <w:tabs>
          <w:tab w:val="clear" w:pos="708"/>
          <w:tab w:val="left" w:pos="1701" w:leader="none"/>
        </w:tabs>
        <w:ind w:firstLine="709" w:left="0"/>
        <w:jc w:val="both"/>
        <w:rPr>
          <w:bCs/>
        </w:rPr>
      </w:pPr>
      <w:r>
        <w:rPr>
          <w:bCs/>
        </w:rPr>
        <w:t xml:space="preserve">-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3"/>
        </w:numPr>
        <w:tabs>
          <w:tab w:val="clear" w:pos="708"/>
          <w:tab w:val="left" w:pos="1701" w:leader="none"/>
        </w:tabs>
        <w:ind w:firstLine="709" w:left="0"/>
        <w:jc w:val="both"/>
        <w:rPr>
          <w:bCs/>
        </w:rPr>
      </w:pPr>
      <w:bookmarkStart w:id="31" w:name="_Ref361337832"/>
      <w:r>
        <w:rPr>
          <w:bCs/>
        </w:rPr>
        <w:t>- 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1"/>
    </w:p>
    <w:p>
      <w:pPr>
        <w:pStyle w:val="ListParagraph"/>
        <w:numPr>
          <w:ilvl w:val="2"/>
          <w:numId w:val="3"/>
        </w:numPr>
        <w:tabs>
          <w:tab w:val="clear" w:pos="708"/>
          <w:tab w:val="left" w:pos="1701" w:leader="none"/>
        </w:tabs>
        <w:ind w:firstLine="709" w:left="0"/>
        <w:jc w:val="both"/>
        <w:rPr>
          <w:bCs/>
        </w:rPr>
      </w:pPr>
      <w:r>
        <w:rPr>
          <w:bCs/>
        </w:rPr>
        <w:t>- не разглашать третьим лицам факты передачи или получения Информации.</w:t>
      </w:r>
    </w:p>
    <w:p>
      <w:pPr>
        <w:pStyle w:val="ListParagraph"/>
        <w:numPr>
          <w:ilvl w:val="1"/>
          <w:numId w:val="3"/>
        </w:numPr>
        <w:tabs>
          <w:tab w:val="clear" w:pos="708"/>
          <w:tab w:val="left" w:pos="1134" w:leader="none"/>
        </w:tabs>
        <w:ind w:firstLine="709" w:left="0"/>
        <w:jc w:val="both"/>
        <w:rPr>
          <w:bCs/>
        </w:rPr>
      </w:pPr>
      <w:bookmarkStart w:id="32"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2"/>
    </w:p>
    <w:p>
      <w:pPr>
        <w:pStyle w:val="ListParagraph"/>
        <w:numPr>
          <w:ilvl w:val="1"/>
          <w:numId w:val="3"/>
        </w:numPr>
        <w:tabs>
          <w:tab w:val="clear" w:pos="708"/>
          <w:tab w:val="left" w:pos="1134" w:leader="none"/>
        </w:tabs>
        <w:ind w:firstLine="709" w:left="0"/>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3"/>
        </w:numPr>
        <w:tabs>
          <w:tab w:val="clear" w:pos="708"/>
          <w:tab w:val="left" w:pos="1134" w:leader="none"/>
        </w:tabs>
        <w:ind w:firstLine="709" w:left="0"/>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tabs>
          <w:tab w:val="clear" w:pos="708"/>
          <w:tab w:val="left" w:pos="284" w:leader="none"/>
        </w:tabs>
        <w:ind w:hanging="0" w:left="0"/>
        <w:rPr>
          <w:b/>
          <w:bCs/>
        </w:rPr>
      </w:pPr>
      <w:r>
        <w:rPr>
          <w:b/>
          <w:bCs/>
        </w:rPr>
      </w:r>
    </w:p>
    <w:p>
      <w:pPr>
        <w:pStyle w:val="ListParagraph"/>
        <w:numPr>
          <w:ilvl w:val="0"/>
          <w:numId w:val="3"/>
        </w:numPr>
        <w:tabs>
          <w:tab w:val="clear" w:pos="708"/>
          <w:tab w:val="left" w:pos="426" w:leader="none"/>
        </w:tabs>
        <w:ind w:hanging="0" w:left="0"/>
        <w:jc w:val="center"/>
        <w:rPr>
          <w:b/>
          <w:bCs/>
        </w:rPr>
      </w:pPr>
      <w:r>
        <w:rPr>
          <w:b/>
          <w:bCs/>
        </w:rPr>
        <w:t>Антикоррупционная оговорка</w:t>
      </w:r>
    </w:p>
    <w:p>
      <w:pPr>
        <w:pStyle w:val="ListParagraph"/>
        <w:shd w:val="clear" w:color="auto" w:fill="FFFFFF"/>
        <w:tabs>
          <w:tab w:val="clear" w:pos="708"/>
          <w:tab w:val="left" w:pos="993" w:leader="none"/>
        </w:tabs>
        <w:ind w:hanging="0" w:left="0"/>
        <w:jc w:val="both"/>
        <w:rPr>
          <w:bCs/>
          <w:color w:val="000000"/>
        </w:rPr>
      </w:pPr>
      <w:r>
        <w:rPr>
          <w:color w:val="000000"/>
        </w:rPr>
        <w:t xml:space="preserve">             </w:t>
      </w:r>
      <w:r>
        <w:rPr>
          <w:color w:val="000000"/>
        </w:rPr>
        <w:t xml:space="preserve">11.1. Стороны обязуются обеспечить, чтобы при исполнении обязательств, возникающих по или в связи с ним, их аффилированные лица, работники и/или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shd w:val="clear" w:color="auto" w:fill="FFFFFF"/>
        <w:tabs>
          <w:tab w:val="clear" w:pos="708"/>
          <w:tab w:val="left" w:pos="993" w:leader="none"/>
        </w:tabs>
        <w:ind w:firstLine="567" w:left="0"/>
        <w:jc w:val="both"/>
        <w:rPr>
          <w:bCs/>
          <w:color w:val="000000"/>
        </w:rPr>
      </w:pPr>
      <w:r>
        <w:rPr>
          <w:bCs/>
          <w:color w:val="000000"/>
        </w:rPr>
        <w:t xml:space="preserve">    </w:t>
      </w:r>
      <w:r>
        <w:rPr>
          <w:bCs/>
          <w:color w:val="000000"/>
        </w:rPr>
        <w:t>11.2. 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shd w:val="clear" w:color="auto" w:fill="FFFFFF"/>
        <w:tabs>
          <w:tab w:val="clear" w:pos="708"/>
          <w:tab w:val="left" w:pos="993" w:leader="none"/>
        </w:tabs>
        <w:ind w:hanging="0" w:left="0"/>
        <w:jc w:val="both"/>
        <w:rPr>
          <w:bCs/>
          <w:color w:val="000000"/>
        </w:rPr>
      </w:pPr>
      <w:r>
        <w:rPr>
          <w:bCs/>
          <w:color w:val="000000"/>
        </w:rPr>
        <w:t xml:space="preserve">          </w:t>
      </w:r>
      <w:r>
        <w:rPr>
          <w:bCs/>
          <w:color w:val="000000"/>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shd w:val="clear" w:color="auto" w:fill="FFFFFF"/>
        <w:tabs>
          <w:tab w:val="clear" w:pos="708"/>
          <w:tab w:val="left" w:pos="993" w:leader="none"/>
        </w:tabs>
        <w:ind w:hanging="0" w:left="0"/>
        <w:jc w:val="both"/>
        <w:rPr>
          <w:bCs/>
          <w:color w:val="000000"/>
        </w:rPr>
      </w:pPr>
      <w:r>
        <w:rPr>
          <w:bCs/>
          <w:color w:val="000000"/>
        </w:rPr>
        <w:t xml:space="preserve">         </w:t>
      </w: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shd w:val="clear" w:color="auto" w:fill="FFFFFF"/>
        <w:tabs>
          <w:tab w:val="clear" w:pos="708"/>
          <w:tab w:val="left" w:pos="993" w:leader="none"/>
        </w:tabs>
        <w:ind w:firstLine="567" w:left="0"/>
        <w:jc w:val="both"/>
        <w:rPr>
          <w:bCs/>
          <w:color w:val="000000"/>
        </w:rPr>
      </w:pPr>
      <w:r>
        <w:rPr>
          <w:bCs/>
          <w:color w:val="000000"/>
        </w:rPr>
        <w:t xml:space="preserve">11.4.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shd w:val="clear" w:color="auto" w:fill="FFFFFF"/>
        <w:tabs>
          <w:tab w:val="clear" w:pos="708"/>
          <w:tab w:val="left" w:pos="993" w:leader="none"/>
        </w:tabs>
        <w:ind w:hanging="0" w:left="0"/>
        <w:jc w:val="both"/>
        <w:rPr>
          <w:bCs/>
          <w:color w:val="000000"/>
        </w:rPr>
      </w:pPr>
      <w:r>
        <w:rPr>
          <w:bCs/>
          <w:color w:val="000000"/>
        </w:rPr>
        <w:t xml:space="preserve">         </w:t>
      </w:r>
      <w:r>
        <w:rPr>
          <w:bCs/>
          <w:color w:val="000000"/>
        </w:rPr>
        <w:t xml:space="preserve">11.5.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shd w:val="clear" w:color="auto" w:fill="FFFFFF"/>
        <w:tabs>
          <w:tab w:val="clear" w:pos="708"/>
          <w:tab w:val="left" w:pos="567" w:leader="none"/>
          <w:tab w:val="left" w:pos="993" w:leader="none"/>
        </w:tabs>
        <w:ind w:hanging="0" w:left="567"/>
        <w:jc w:val="both"/>
        <w:rPr>
          <w:color w:val="000000"/>
        </w:rPr>
      </w:pPr>
      <w:r>
        <w:rPr>
          <w:color w:val="000000"/>
        </w:rPr>
        <w:t xml:space="preserve">11.6.  Каналы связи Линия доверия Группы РусГидро: </w:t>
      </w:r>
    </w:p>
    <w:p>
      <w:pPr>
        <w:pStyle w:val="ListParagraph"/>
        <w:widowControl w:val="false"/>
        <w:shd w:val="clear" w:color="auto" w:fill="FFFFFF"/>
        <w:tabs>
          <w:tab w:val="clear" w:pos="708"/>
          <w:tab w:val="left" w:pos="567" w:leader="none"/>
          <w:tab w:val="left" w:pos="993" w:leader="none"/>
          <w:tab w:val="left" w:pos="1134" w:leader="none"/>
        </w:tabs>
        <w:ind w:hanging="0" w:left="567"/>
        <w:jc w:val="both"/>
        <w:rPr/>
      </w:pPr>
      <w:r>
        <w:rPr/>
        <w:t>11.6.1.  Электронная почта: ld@rushydro.ru;</w:t>
      </w:r>
    </w:p>
    <w:p>
      <w:pPr>
        <w:pStyle w:val="ListParagraph"/>
        <w:widowControl w:val="false"/>
        <w:shd w:val="clear" w:color="auto" w:fill="FFFFFF"/>
        <w:tabs>
          <w:tab w:val="clear" w:pos="708"/>
          <w:tab w:val="left" w:pos="567" w:leader="none"/>
          <w:tab w:val="left" w:pos="993" w:leader="none"/>
          <w:tab w:val="left" w:pos="1134" w:leader="none"/>
        </w:tabs>
        <w:ind w:hanging="0" w:left="567"/>
        <w:rPr/>
      </w:pPr>
      <w:r>
        <w:rPr/>
        <w:t xml:space="preserve">11.6.2. Специальная форма «обратной связи», размещенная на официальном сайте </w:t>
      </w:r>
    </w:p>
    <w:p>
      <w:pPr>
        <w:pStyle w:val="Normal"/>
        <w:widowControl w:val="false"/>
        <w:shd w:val="clear" w:color="auto" w:fill="FFFFFF"/>
        <w:tabs>
          <w:tab w:val="clear" w:pos="708"/>
          <w:tab w:val="left" w:pos="567" w:leader="none"/>
          <w:tab w:val="left" w:pos="993" w:leader="none"/>
          <w:tab w:val="left" w:pos="1134" w:leader="none"/>
        </w:tabs>
        <w:spacing w:lineRule="auto" w:line="240"/>
        <w:ind w:hanging="0"/>
        <w:rPr>
          <w:sz w:val="24"/>
          <w:szCs w:val="24"/>
        </w:rPr>
      </w:pPr>
      <w:r>
        <w:rPr>
          <w:sz w:val="24"/>
          <w:szCs w:val="24"/>
        </w:rPr>
        <w:t>ПАО «РусГидро»  в сети интернет: http://www.rushydro.ru/ (далее перейти по ссылке «Линия доверия» и заполнить поля специальной формы «обратной связи»);</w:t>
      </w:r>
    </w:p>
    <w:p>
      <w:pPr>
        <w:pStyle w:val="ListParagraph"/>
        <w:tabs>
          <w:tab w:val="clear" w:pos="708"/>
          <w:tab w:val="left" w:pos="993" w:leader="none"/>
          <w:tab w:val="left" w:pos="1134" w:leader="none"/>
        </w:tabs>
        <w:spacing w:lineRule="auto" w:line="240" w:before="0" w:after="160"/>
        <w:ind w:firstLine="567" w:left="0"/>
        <w:contextualSpacing/>
        <w:jc w:val="both"/>
        <w:rPr>
          <w:highlight w:val="none"/>
        </w:rPr>
      </w:pPr>
      <w:r>
        <w:rPr/>
        <w:t>11.6.3. Телефонный автоответчик (необходимо позвонить по телефону +7(495) 785-09-37 (круглосуточно), дождаться сигнала о начале записи и оставить устное обращение).</w:t>
      </w:r>
      <w:bookmarkStart w:id="33" w:name="_GoBack"/>
      <w:bookmarkEnd w:id="33"/>
    </w:p>
    <w:p>
      <w:pPr>
        <w:pStyle w:val="ListParagraph"/>
        <w:tabs>
          <w:tab w:val="clear" w:pos="708"/>
          <w:tab w:val="left" w:pos="993" w:leader="none"/>
          <w:tab w:val="left" w:pos="1134" w:leader="none"/>
        </w:tabs>
        <w:spacing w:lineRule="auto" w:line="240" w:before="0" w:afterAutospacing="0" w:after="0"/>
        <w:ind w:firstLine="567" w:left="0"/>
        <w:contextualSpacing/>
        <w:jc w:val="both"/>
        <w:rPr/>
      </w:pPr>
      <w:r>
        <w:rPr/>
      </w:r>
    </w:p>
    <w:p>
      <w:pPr>
        <w:pStyle w:val="ListParagraph"/>
        <w:numPr>
          <w:ilvl w:val="0"/>
          <w:numId w:val="3"/>
        </w:numPr>
        <w:tabs>
          <w:tab w:val="clear" w:pos="708"/>
          <w:tab w:val="left" w:pos="426" w:leader="none"/>
        </w:tabs>
        <w:ind w:hanging="0" w:left="0"/>
        <w:jc w:val="center"/>
        <w:rPr>
          <w:b/>
          <w:bCs/>
        </w:rPr>
      </w:pPr>
      <w:r>
        <w:rPr>
          <w:b/>
          <w:bCs/>
        </w:rPr>
        <w:t>Обстоятельства непреодолимой силы (форс-мажор)</w:t>
      </w:r>
    </w:p>
    <w:p>
      <w:pPr>
        <w:pStyle w:val="Normal"/>
        <w:tabs>
          <w:tab w:val="clear" w:pos="708"/>
          <w:tab w:val="left" w:pos="1134" w:leader="none"/>
        </w:tabs>
        <w:spacing w:lineRule="auto" w:line="240"/>
        <w:ind w:hanging="0" w:left="709"/>
        <w:jc w:val="both"/>
        <w:rPr>
          <w:sz w:val="24"/>
          <w:szCs w:val="24"/>
        </w:rPr>
      </w:pPr>
      <w:r>
        <w:rPr>
          <w:bCs/>
          <w:sz w:val="24"/>
          <w:szCs w:val="24"/>
        </w:rPr>
        <w:t xml:space="preserve">12.1. Стороны освобождаются от ответственности за неисполнение или ненадлежащее </w:t>
      </w:r>
    </w:p>
    <w:p>
      <w:pPr>
        <w:pStyle w:val="Normal"/>
        <w:tabs>
          <w:tab w:val="clear" w:pos="708"/>
          <w:tab w:val="left" w:pos="1134" w:leader="none"/>
        </w:tabs>
        <w:spacing w:lineRule="auto" w:line="240"/>
        <w:ind w:hanging="0" w:left="0"/>
        <w:jc w:val="both"/>
        <w:rPr>
          <w:sz w:val="24"/>
          <w:szCs w:val="24"/>
        </w:rPr>
      </w:pPr>
      <w:r>
        <w:rPr>
          <w:bCs/>
          <w:sz w:val="24"/>
          <w:szCs w:val="24"/>
        </w:rPr>
        <w:t>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3"/>
        </w:numPr>
        <w:tabs>
          <w:tab w:val="clear" w:pos="708"/>
          <w:tab w:val="left" w:pos="1134" w:leader="none"/>
        </w:tabs>
        <w:ind w:firstLine="709" w:left="0"/>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3"/>
        </w:numPr>
        <w:tabs>
          <w:tab w:val="clear" w:pos="708"/>
          <w:tab w:val="left" w:pos="1134" w:leader="none"/>
        </w:tabs>
        <w:ind w:firstLine="709" w:left="0"/>
        <w:jc w:val="both"/>
        <w:rPr>
          <w:bCs/>
        </w:rPr>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 </w:t>
      </w:r>
    </w:p>
    <w:p>
      <w:pPr>
        <w:pStyle w:val="ListParagraph"/>
        <w:numPr>
          <w:ilvl w:val="1"/>
          <w:numId w:val="3"/>
        </w:numPr>
        <w:tabs>
          <w:tab w:val="clear" w:pos="708"/>
          <w:tab w:val="left" w:pos="1134" w:leader="none"/>
        </w:tabs>
        <w:ind w:firstLine="709" w:left="0"/>
        <w:jc w:val="both"/>
        <w:rPr>
          <w:bCs/>
        </w:rPr>
      </w:pPr>
      <w:r>
        <w:rPr>
          <w:bCs/>
        </w:rPr>
        <w:t>Надлежащим (достаточным) доказательством наличия/возникновения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3"/>
        </w:numPr>
        <w:tabs>
          <w:tab w:val="clear" w:pos="708"/>
          <w:tab w:val="left" w:pos="1134" w:leader="none"/>
        </w:tabs>
        <w:ind w:firstLine="709" w:left="0"/>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3"/>
        </w:numPr>
        <w:tabs>
          <w:tab w:val="clear" w:pos="708"/>
          <w:tab w:val="left" w:pos="568" w:leader="none"/>
        </w:tabs>
        <w:ind w:firstLine="709" w:left="0"/>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tabs>
          <w:tab w:val="clear" w:pos="708"/>
          <w:tab w:val="left" w:pos="568" w:leader="none"/>
        </w:tabs>
        <w:ind w:firstLine="709" w:left="0"/>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3"/>
        </w:numPr>
        <w:tabs>
          <w:tab w:val="clear" w:pos="708"/>
          <w:tab w:val="left" w:pos="426" w:leader="none"/>
        </w:tabs>
        <w:ind w:hanging="0" w:left="0"/>
        <w:jc w:val="center"/>
        <w:rPr>
          <w:b/>
          <w:bCs/>
          <w:highlight w:val="white"/>
        </w:rPr>
      </w:pPr>
      <w:r>
        <w:rPr>
          <w:b/>
          <w:bCs/>
          <w:highlight w:val="white"/>
        </w:rPr>
        <w:t>Особые положения</w:t>
      </w:r>
    </w:p>
    <w:p>
      <w:pPr>
        <w:pStyle w:val="Normal"/>
        <w:tabs>
          <w:tab w:val="clear" w:pos="708"/>
          <w:tab w:val="left" w:pos="1134" w:leader="none"/>
        </w:tabs>
        <w:spacing w:lineRule="auto" w:line="240"/>
        <w:ind w:hanging="0" w:left="709"/>
        <w:jc w:val="both"/>
        <w:rPr>
          <w:sz w:val="24"/>
          <w:szCs w:val="24"/>
        </w:rPr>
      </w:pPr>
      <w:bookmarkStart w:id="34" w:name="_Ref361337900"/>
      <w:r>
        <w:rPr>
          <w:bCs/>
          <w:sz w:val="24"/>
          <w:szCs w:val="24"/>
        </w:rPr>
        <w:t xml:space="preserve">13.1. Подрядчик обязуется не привлекать и не допускать привлечения к исполнению </w:t>
      </w:r>
    </w:p>
    <w:p>
      <w:pPr>
        <w:pStyle w:val="Normal"/>
        <w:tabs>
          <w:tab w:val="clear" w:pos="708"/>
          <w:tab w:val="left" w:pos="1134" w:leader="none"/>
        </w:tabs>
        <w:spacing w:lineRule="auto" w:line="240"/>
        <w:ind w:hanging="0" w:left="0"/>
        <w:jc w:val="both"/>
        <w:rPr>
          <w:sz w:val="24"/>
          <w:szCs w:val="24"/>
        </w:rPr>
      </w:pPr>
      <w:r>
        <w:rPr>
          <w:bCs/>
          <w:sz w:val="24"/>
          <w:szCs w:val="24"/>
        </w:rPr>
        <w:t>обязательств по Договору организации:</w:t>
      </w:r>
    </w:p>
    <w:p>
      <w:pPr>
        <w:pStyle w:val="ListParagraph"/>
        <w:numPr>
          <w:ilvl w:val="1"/>
          <w:numId w:val="13"/>
        </w:numPr>
        <w:tabs>
          <w:tab w:val="clear" w:pos="708"/>
          <w:tab w:val="left" w:pos="1134" w:leader="none"/>
        </w:tabs>
        <w:ind w:firstLine="709" w:left="0"/>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tgtFrame="consultantplus://offline/ref=94D5CE8889791A29DE57299515463A9D6134D8237B999C803E6F853513x2A2P">
        <w:r>
          <w:rPr>
            <w:rStyle w:val="ListLabel235"/>
            <w:bCs/>
          </w:rPr>
          <w:t>№ 18162/09</w:t>
        </w:r>
      </w:hyperlink>
      <w:r>
        <w:rPr>
          <w:bCs/>
        </w:rPr>
        <w:t xml:space="preserve"> и от 25.05.2010 </w:t>
      </w:r>
      <w:hyperlink r:id="rId3" w:tgtFrame="consultantplus://offline/ref=94D5CE8889791A29DE57299515463A9D6135D2287D929C803E6F853513x2A2P">
        <w:r>
          <w:rPr>
            <w:rStyle w:val="ListLabel235"/>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3"/>
        </w:numPr>
        <w:tabs>
          <w:tab w:val="clear" w:pos="708"/>
          <w:tab w:val="left" w:pos="1134" w:leader="none"/>
        </w:tabs>
        <w:ind w:firstLine="709" w:left="0"/>
        <w:jc w:val="both"/>
        <w:rPr>
          <w:bCs/>
        </w:rPr>
      </w:pPr>
      <w:r>
        <w:rPr>
          <w:bCs/>
        </w:rPr>
        <w:t xml:space="preserve">соответствующие </w:t>
      </w:r>
      <w:hyperlink r:id="rId4" w:tgtFrame="consultantplus://offline/ref=79440D5123ABA6A25F43346AB59DBAAC7032C8E1556DA64FAED62E167F76889C2B7C475C32EFC59BJ8rDH">
        <w:r>
          <w:rPr>
            <w:rStyle w:val="ListLabel235"/>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4"/>
    </w:p>
    <w:p>
      <w:pPr>
        <w:pStyle w:val="ListParagraph"/>
        <w:numPr>
          <w:ilvl w:val="1"/>
          <w:numId w:val="3"/>
        </w:numPr>
        <w:tabs>
          <w:tab w:val="clear" w:pos="708"/>
          <w:tab w:val="left" w:pos="1134" w:leader="none"/>
        </w:tabs>
        <w:ind w:firstLine="709" w:left="0"/>
        <w:jc w:val="both"/>
        <w:rPr>
          <w:bCs/>
        </w:rPr>
      </w:pPr>
      <w:bookmarkStart w:id="35"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5"/>
    </w:p>
    <w:p>
      <w:pPr>
        <w:pStyle w:val="ListParagraph"/>
        <w:numPr>
          <w:ilvl w:val="1"/>
          <w:numId w:val="3"/>
        </w:numPr>
        <w:tabs>
          <w:tab w:val="clear" w:pos="708"/>
          <w:tab w:val="left" w:pos="1134" w:leader="none"/>
        </w:tabs>
        <w:ind w:firstLine="709" w:left="0"/>
        <w:jc w:val="both"/>
        <w:rPr>
          <w:bCs/>
        </w:rPr>
      </w:pPr>
      <w:bookmarkStart w:id="36"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6"/>
    </w:p>
    <w:p>
      <w:pPr>
        <w:pStyle w:val="ListParagraph"/>
        <w:numPr>
          <w:ilvl w:val="1"/>
          <w:numId w:val="3"/>
        </w:numPr>
        <w:tabs>
          <w:tab w:val="clear" w:pos="708"/>
          <w:tab w:val="left" w:pos="1134" w:leader="none"/>
        </w:tabs>
        <w:ind w:firstLine="709" w:left="0"/>
        <w:jc w:val="both"/>
        <w:rPr>
          <w:bCs/>
        </w:rPr>
      </w:pPr>
      <w:bookmarkStart w:id="37"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7"/>
    </w:p>
    <w:p>
      <w:pPr>
        <w:pStyle w:val="ListParagraph"/>
        <w:numPr>
          <w:ilvl w:val="1"/>
          <w:numId w:val="3"/>
        </w:numPr>
        <w:tabs>
          <w:tab w:val="clear" w:pos="708"/>
          <w:tab w:val="left" w:pos="1134" w:leader="none"/>
        </w:tabs>
        <w:ind w:firstLine="709" w:left="0"/>
        <w:jc w:val="both"/>
        <w:rPr>
          <w:bCs/>
        </w:rPr>
      </w:pPr>
      <w:bookmarkStart w:id="38"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8"/>
    </w:p>
    <w:p>
      <w:pPr>
        <w:pStyle w:val="ListParagraph"/>
        <w:numPr>
          <w:ilvl w:val="1"/>
          <w:numId w:val="3"/>
        </w:numPr>
        <w:tabs>
          <w:tab w:val="clear" w:pos="708"/>
          <w:tab w:val="left" w:pos="1134" w:leader="none"/>
        </w:tabs>
        <w:ind w:firstLine="709" w:left="0"/>
        <w:jc w:val="both"/>
        <w:rPr>
          <w:bCs/>
        </w:rPr>
      </w:pPr>
      <w:bookmarkStart w:id="39"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9"/>
    </w:p>
    <w:p>
      <w:pPr>
        <w:pStyle w:val="ListParagraph"/>
        <w:numPr>
          <w:ilvl w:val="1"/>
          <w:numId w:val="3"/>
        </w:numPr>
        <w:tabs>
          <w:tab w:val="clear" w:pos="708"/>
          <w:tab w:val="left" w:pos="1134" w:leader="none"/>
        </w:tabs>
        <w:ind w:firstLine="709" w:left="0"/>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Normal"/>
        <w:tabs>
          <w:tab w:val="clear" w:pos="708"/>
          <w:tab w:val="left" w:pos="1134" w:leader="none"/>
        </w:tabs>
        <w:spacing w:lineRule="auto" w:line="240"/>
        <w:ind w:hanging="0" w:left="709"/>
        <w:jc w:val="both"/>
        <w:rPr/>
      </w:pPr>
      <w:r>
        <w:rPr/>
      </w:r>
    </w:p>
    <w:p>
      <w:pPr>
        <w:pStyle w:val="ListParagraph"/>
        <w:numPr>
          <w:ilvl w:val="0"/>
          <w:numId w:val="3"/>
        </w:numPr>
        <w:tabs>
          <w:tab w:val="clear" w:pos="708"/>
          <w:tab w:val="left" w:pos="426" w:leader="none"/>
        </w:tabs>
        <w:ind w:hanging="0" w:left="0"/>
        <w:jc w:val="center"/>
        <w:rPr>
          <w:b/>
        </w:rPr>
      </w:pPr>
      <w:r>
        <w:rPr>
          <w:b/>
          <w:bCs/>
        </w:rPr>
        <w:t>Заверения</w:t>
      </w:r>
      <w:r>
        <w:rPr>
          <w:b/>
        </w:rPr>
        <w:t xml:space="preserve"> Сторон</w:t>
      </w:r>
    </w:p>
    <w:p>
      <w:pPr>
        <w:pStyle w:val="Normal"/>
        <w:tabs>
          <w:tab w:val="clear" w:pos="708"/>
          <w:tab w:val="left" w:pos="1134" w:leader="none"/>
          <w:tab w:val="left" w:pos="1418" w:leader="none"/>
        </w:tabs>
        <w:spacing w:lineRule="auto" w:line="240"/>
        <w:ind w:hanging="0" w:left="709"/>
        <w:jc w:val="both"/>
        <w:rPr/>
      </w:pPr>
      <w:r>
        <w:rPr>
          <w:bCs/>
          <w:sz w:val="24"/>
          <w:szCs w:val="24"/>
        </w:rPr>
        <w:t>14.1. Каждая</w:t>
      </w:r>
      <w:r>
        <w:rPr>
          <w:sz w:val="24"/>
          <w:szCs w:val="24"/>
        </w:rPr>
        <w:t xml:space="preserve"> из Сторон заявляет и подтверждает другой Стороне, что: </w:t>
      </w:r>
    </w:p>
    <w:p>
      <w:pPr>
        <w:pStyle w:val="ListParagraph"/>
        <w:numPr>
          <w:ilvl w:val="0"/>
          <w:numId w:val="10"/>
        </w:numPr>
        <w:tabs>
          <w:tab w:val="clear" w:pos="708"/>
          <w:tab w:val="left" w:pos="709" w:leader="none"/>
          <w:tab w:val="left" w:pos="1418" w:leader="none"/>
        </w:tabs>
        <w:ind w:firstLine="709" w:left="0"/>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0"/>
        </w:numPr>
        <w:tabs>
          <w:tab w:val="clear" w:pos="708"/>
          <w:tab w:val="left" w:pos="709" w:leader="none"/>
          <w:tab w:val="left" w:pos="1418" w:leader="none"/>
        </w:tabs>
        <w:ind w:firstLine="709" w:left="0"/>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0"/>
        </w:numPr>
        <w:tabs>
          <w:tab w:val="clear" w:pos="708"/>
          <w:tab w:val="left" w:pos="709" w:leader="none"/>
          <w:tab w:val="left" w:pos="1418" w:leader="none"/>
        </w:tabs>
        <w:ind w:firstLine="709" w:left="0"/>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0"/>
        </w:numPr>
        <w:tabs>
          <w:tab w:val="clear" w:pos="708"/>
          <w:tab w:val="left" w:pos="709" w:leader="none"/>
          <w:tab w:val="left" w:pos="1418" w:leader="none"/>
        </w:tabs>
        <w:ind w:firstLine="709" w:left="0"/>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0"/>
        </w:numPr>
        <w:tabs>
          <w:tab w:val="clear" w:pos="708"/>
          <w:tab w:val="left" w:pos="709" w:leader="none"/>
          <w:tab w:val="left" w:pos="1418" w:leader="none"/>
        </w:tabs>
        <w:ind w:firstLine="709" w:left="0"/>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3"/>
        </w:numPr>
        <w:tabs>
          <w:tab w:val="clear" w:pos="708"/>
          <w:tab w:val="left" w:pos="1134" w:leader="none"/>
          <w:tab w:val="left" w:pos="1418" w:leader="none"/>
        </w:tabs>
        <w:ind w:firstLine="709" w:left="0"/>
        <w:jc w:val="both"/>
        <w:rPr/>
      </w:pPr>
      <w:r>
        <w:rPr/>
        <w:t>Подрядчик заявляет и заверяет Заказчика в том, что на момент заключения Договора:</w:t>
      </w:r>
    </w:p>
    <w:p>
      <w:pPr>
        <w:pStyle w:val="ListParagraph"/>
        <w:numPr>
          <w:ilvl w:val="0"/>
          <w:numId w:val="12"/>
        </w:numPr>
        <w:tabs>
          <w:tab w:val="clear" w:pos="708"/>
          <w:tab w:val="left" w:pos="709" w:leader="none"/>
          <w:tab w:val="left" w:pos="1418" w:leader="none"/>
        </w:tabs>
        <w:ind w:firstLine="709" w:left="0"/>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2"/>
        </w:numPr>
        <w:tabs>
          <w:tab w:val="clear" w:pos="708"/>
          <w:tab w:val="left" w:pos="709" w:leader="none"/>
          <w:tab w:val="left" w:pos="1418" w:leader="none"/>
        </w:tabs>
        <w:ind w:firstLine="709" w:left="0"/>
        <w:jc w:val="both"/>
        <w:rPr/>
      </w:pPr>
      <w:r>
        <w:rPr/>
        <w:t>руководителем Подрядчика является лицо, не являющееся массовым руководителем;</w:t>
      </w:r>
    </w:p>
    <w:p>
      <w:pPr>
        <w:pStyle w:val="ListParagraph"/>
        <w:numPr>
          <w:ilvl w:val="0"/>
          <w:numId w:val="12"/>
        </w:numPr>
        <w:tabs>
          <w:tab w:val="clear" w:pos="708"/>
          <w:tab w:val="left" w:pos="709" w:leader="none"/>
          <w:tab w:val="left" w:pos="1418" w:leader="none"/>
        </w:tabs>
        <w:ind w:firstLine="709" w:left="0"/>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2"/>
        </w:numPr>
        <w:tabs>
          <w:tab w:val="clear" w:pos="708"/>
          <w:tab w:val="left" w:pos="709" w:leader="none"/>
          <w:tab w:val="left" w:pos="1418" w:leader="none"/>
        </w:tabs>
        <w:ind w:firstLine="709" w:left="0"/>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1"/>
        </w:numPr>
        <w:tabs>
          <w:tab w:val="clear" w:pos="708"/>
          <w:tab w:val="left" w:pos="567" w:leader="none"/>
          <w:tab w:val="left" w:pos="1418" w:leader="none"/>
        </w:tabs>
        <w:ind w:firstLine="709" w:left="0"/>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1"/>
        </w:numPr>
        <w:tabs>
          <w:tab w:val="clear" w:pos="708"/>
          <w:tab w:val="left" w:pos="567" w:leader="none"/>
          <w:tab w:val="left" w:pos="1418" w:leader="none"/>
        </w:tabs>
        <w:ind w:firstLine="709" w:left="0"/>
        <w:jc w:val="both"/>
        <w:rPr/>
      </w:pPr>
      <w:r>
        <w:rPr/>
        <w:t>Подрядчик состоит в СРО, основанной на членстве лиц выполняющих подготовку проектной документации и осуществляющих строительство</w:t>
      </w:r>
      <w:r>
        <w:rPr>
          <w:rStyle w:val="FootnoteReference"/>
        </w:rPr>
        <w:footnoteReference w:id="5"/>
      </w:r>
      <w:r>
        <w:rPr/>
        <w:t>;</w:t>
      </w:r>
    </w:p>
    <w:p>
      <w:pPr>
        <w:pStyle w:val="ListParagraph"/>
        <w:numPr>
          <w:ilvl w:val="0"/>
          <w:numId w:val="11"/>
        </w:numPr>
        <w:tabs>
          <w:tab w:val="clear" w:pos="708"/>
          <w:tab w:val="left" w:pos="567" w:leader="none"/>
          <w:tab w:val="left" w:pos="1418" w:leader="none"/>
        </w:tabs>
        <w:ind w:firstLine="709" w:left="0"/>
        <w:jc w:val="both"/>
        <w:rPr/>
      </w:pPr>
      <w:r>
        <w:rPr/>
        <w:t>Подрядчик имеет в штате по основному месту работы не менее 2 (двух) специалистов по организации архитектурно- строительного проектирования/по организации строительства, сведения о которых включены в национальный реестр специалистов в области архитектурно-строительного проектирования/ национальный реестр специалистов в области строительства</w:t>
      </w:r>
      <w:r>
        <w:rPr>
          <w:rStyle w:val="FootnoteReference"/>
        </w:rPr>
        <w:footnoteReference w:id="6"/>
      </w:r>
      <w:r>
        <w:rPr/>
        <w:t>;</w:t>
      </w:r>
    </w:p>
    <w:p>
      <w:pPr>
        <w:pStyle w:val="ListParagraph"/>
        <w:numPr>
          <w:ilvl w:val="0"/>
          <w:numId w:val="11"/>
        </w:numPr>
        <w:tabs>
          <w:tab w:val="clear" w:pos="708"/>
          <w:tab w:val="left" w:pos="567" w:leader="none"/>
          <w:tab w:val="left" w:pos="1418" w:leader="none"/>
        </w:tabs>
        <w:ind w:firstLine="709" w:left="0"/>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1"/>
        </w:numPr>
        <w:tabs>
          <w:tab w:val="clear" w:pos="708"/>
          <w:tab w:val="left" w:pos="567" w:leader="none"/>
          <w:tab w:val="left" w:pos="1418" w:leader="none"/>
        </w:tabs>
        <w:ind w:firstLine="709" w:left="0"/>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1"/>
        </w:numPr>
        <w:tabs>
          <w:tab w:val="clear" w:pos="708"/>
          <w:tab w:val="left" w:pos="567" w:leader="none"/>
          <w:tab w:val="left" w:pos="1418" w:leader="none"/>
        </w:tabs>
        <w:ind w:firstLine="709" w:left="0"/>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1"/>
        </w:numPr>
        <w:tabs>
          <w:tab w:val="clear" w:pos="708"/>
          <w:tab w:val="left" w:pos="567" w:leader="none"/>
          <w:tab w:val="left" w:pos="1418" w:leader="none"/>
        </w:tabs>
        <w:ind w:firstLine="709" w:left="0"/>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1"/>
        </w:numPr>
        <w:tabs>
          <w:tab w:val="clear" w:pos="708"/>
          <w:tab w:val="left" w:pos="567" w:leader="none"/>
          <w:tab w:val="left" w:pos="1418" w:leader="none"/>
        </w:tabs>
        <w:ind w:firstLine="709" w:left="0"/>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3"/>
        </w:numPr>
        <w:spacing w:lineRule="auto" w:line="240"/>
        <w:ind w:firstLine="709" w:left="0"/>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3"/>
        </w:numPr>
        <w:tabs>
          <w:tab w:val="clear" w:pos="708"/>
          <w:tab w:val="left" w:pos="1134" w:leader="none"/>
          <w:tab w:val="left" w:pos="1418" w:leader="none"/>
        </w:tabs>
        <w:ind w:firstLine="709" w:left="0"/>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3"/>
        </w:numPr>
        <w:tabs>
          <w:tab w:val="clear" w:pos="708"/>
          <w:tab w:val="left" w:pos="1134" w:leader="none"/>
          <w:tab w:val="left" w:pos="1418" w:leader="none"/>
        </w:tabs>
        <w:ind w:firstLine="709" w:left="0"/>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tabs>
          <w:tab w:val="clear" w:pos="708"/>
          <w:tab w:val="left" w:pos="1134" w:leader="none"/>
          <w:tab w:val="left" w:pos="1418" w:leader="none"/>
        </w:tabs>
        <w:ind w:hanging="0" w:left="0"/>
        <w:jc w:val="both"/>
        <w:rPr>
          <w:b/>
        </w:rPr>
      </w:pPr>
      <w:r>
        <w:rPr>
          <w:b/>
        </w:rPr>
      </w:r>
    </w:p>
    <w:p>
      <w:pPr>
        <w:pStyle w:val="ListParagraph"/>
        <w:numPr>
          <w:ilvl w:val="0"/>
          <w:numId w:val="3"/>
        </w:numPr>
        <w:tabs>
          <w:tab w:val="clear" w:pos="708"/>
          <w:tab w:val="left" w:pos="426" w:leader="none"/>
        </w:tabs>
        <w:ind w:hanging="0" w:left="0"/>
        <w:jc w:val="center"/>
        <w:rPr>
          <w:b/>
        </w:rPr>
      </w:pPr>
      <w:r>
        <w:rPr>
          <w:b/>
          <w:bCs/>
        </w:rPr>
        <w:t>П</w:t>
      </w:r>
      <w:r>
        <w:rPr>
          <w:b/>
        </w:rPr>
        <w:t>рекращение (расторжение) Договора</w:t>
      </w:r>
    </w:p>
    <w:p>
      <w:pPr>
        <w:pStyle w:val="Normal"/>
        <w:tabs>
          <w:tab w:val="clear" w:pos="708"/>
          <w:tab w:val="left" w:pos="1134" w:leader="none"/>
        </w:tabs>
        <w:spacing w:lineRule="auto" w:line="240"/>
        <w:ind w:hanging="0" w:left="709"/>
        <w:jc w:val="both"/>
        <w:rPr>
          <w:sz w:val="24"/>
          <w:szCs w:val="24"/>
        </w:rPr>
      </w:pPr>
      <w:r>
        <w:rPr>
          <w:sz w:val="24"/>
          <w:szCs w:val="24"/>
        </w:rPr>
        <w:t xml:space="preserve">15.1. Договор может быть прекращен (расторгнут) по соглашению Сторон. Сторона, </w:t>
      </w:r>
    </w:p>
    <w:p>
      <w:pPr>
        <w:pStyle w:val="Normal"/>
        <w:tabs>
          <w:tab w:val="clear" w:pos="708"/>
          <w:tab w:val="left" w:pos="1134" w:leader="none"/>
        </w:tabs>
        <w:spacing w:lineRule="auto" w:line="240"/>
        <w:ind w:hanging="0" w:left="0"/>
        <w:jc w:val="both"/>
        <w:rPr>
          <w:sz w:val="24"/>
          <w:szCs w:val="24"/>
        </w:rPr>
      </w:pPr>
      <w:r>
        <w:rPr>
          <w:sz w:val="24"/>
          <w:szCs w:val="24"/>
        </w:rPr>
        <w:t>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3"/>
        </w:numPr>
        <w:tabs>
          <w:tab w:val="clear" w:pos="708"/>
          <w:tab w:val="left" w:pos="1134" w:leader="none"/>
        </w:tabs>
        <w:ind w:firstLine="709" w:left="0"/>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tabs>
          <w:tab w:val="clear" w:pos="708"/>
          <w:tab w:val="left" w:pos="1134" w:leader="none"/>
        </w:tabs>
        <w:ind w:firstLine="709" w:left="0"/>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3"/>
        </w:numPr>
        <w:tabs>
          <w:tab w:val="clear" w:pos="708"/>
          <w:tab w:val="left" w:pos="1134" w:leader="none"/>
        </w:tabs>
        <w:ind w:firstLine="709" w:left="0"/>
        <w:jc w:val="both"/>
        <w:rPr/>
      </w:pPr>
      <w:r>
        <w:rPr/>
        <w:t>В случае существенного нарушения Договора Подрядчиком Заказчик имеет право отказаться от исполнения Договора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 / или результаты Работ, ранее принятых по Договору, и потребовать возврата уплаченных денежных средств.</w:t>
      </w:r>
    </w:p>
    <w:p>
      <w:pPr>
        <w:pStyle w:val="ListParagraph"/>
        <w:tabs>
          <w:tab w:val="clear" w:pos="708"/>
          <w:tab w:val="left" w:pos="1134" w:leader="none"/>
        </w:tabs>
        <w:ind w:firstLine="709" w:left="0"/>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3"/>
        </w:numPr>
        <w:tabs>
          <w:tab w:val="clear" w:pos="708"/>
          <w:tab w:val="left" w:pos="1134" w:leader="none"/>
        </w:tabs>
        <w:ind w:firstLine="709" w:left="0"/>
        <w:jc w:val="both"/>
        <w:rPr/>
      </w:pPr>
      <w:r>
        <w:rPr/>
        <w:t>Стороны установили, что существенным нарушением Договора Подрядчиком является:</w:t>
      </w:r>
    </w:p>
    <w:p>
      <w:pPr>
        <w:pStyle w:val="ListParagraph"/>
        <w:numPr>
          <w:ilvl w:val="0"/>
          <w:numId w:val="9"/>
        </w:numPr>
        <w:tabs>
          <w:tab w:val="clear" w:pos="708"/>
          <w:tab w:val="left" w:pos="1134" w:leader="none"/>
        </w:tabs>
        <w:ind w:firstLine="709" w:left="0" w:right="23"/>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Графиком производства и финансирования Работ (Приложение № 2 к Договору), более чем на 60 (шестьдесят) календарных дней по причинам, не зависящим от Заказчика;</w:t>
      </w:r>
    </w:p>
    <w:p>
      <w:pPr>
        <w:pStyle w:val="ListParagraph"/>
        <w:numPr>
          <w:ilvl w:val="0"/>
          <w:numId w:val="9"/>
        </w:numPr>
        <w:tabs>
          <w:tab w:val="clear" w:pos="708"/>
          <w:tab w:val="left" w:pos="1134" w:leader="none"/>
        </w:tabs>
        <w:ind w:firstLine="709" w:left="0" w:right="23"/>
        <w:jc w:val="both"/>
        <w:rPr/>
      </w:pPr>
      <w:r>
        <w:rPr/>
        <w:t>несоблюдение Подрядчиком требований к качеству Работ и / или используемых при выполнении Работ Материально-технических ресурсов</w:t>
      </w:r>
      <w:r>
        <w:rPr>
          <w:bCs/>
        </w:rPr>
        <w:t xml:space="preserve"> и оборудования,</w:t>
      </w:r>
      <w:r>
        <w:rPr/>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9"/>
        </w:numPr>
        <w:tabs>
          <w:tab w:val="clear" w:pos="708"/>
          <w:tab w:val="left" w:pos="1134" w:leader="none"/>
        </w:tabs>
        <w:ind w:firstLine="709" w:left="0" w:right="23"/>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9"/>
        </w:numPr>
        <w:tabs>
          <w:tab w:val="clear" w:pos="708"/>
          <w:tab w:val="left" w:pos="1134" w:leader="none"/>
        </w:tabs>
        <w:ind w:firstLine="709" w:left="0" w:right="23"/>
        <w:jc w:val="both"/>
        <w:rPr>
          <w:highlight w:val="white"/>
        </w:rPr>
      </w:pPr>
      <w:r>
        <w:rPr>
          <w:highlight w:val="white"/>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9"/>
        </w:numPr>
        <w:tabs>
          <w:tab w:val="clear" w:pos="708"/>
          <w:tab w:val="left" w:pos="1134" w:leader="none"/>
        </w:tabs>
        <w:ind w:firstLine="709" w:left="0" w:right="23"/>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9"/>
        </w:numPr>
        <w:tabs>
          <w:tab w:val="clear" w:pos="708"/>
          <w:tab w:val="left" w:pos="1134" w:leader="none"/>
        </w:tabs>
        <w:ind w:firstLine="709" w:left="0" w:right="23"/>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9"/>
        </w:numPr>
        <w:tabs>
          <w:tab w:val="clear" w:pos="708"/>
          <w:tab w:val="left" w:pos="1134" w:leader="none"/>
        </w:tabs>
        <w:ind w:firstLine="709" w:left="0" w:right="23"/>
        <w:jc w:val="both"/>
        <w:rPr/>
      </w:pPr>
      <w:r>
        <w:rPr/>
        <w:t>привлечение к выполнению Работ по Договору третьих лиц (Субподрядчиков) с нарушением требований, установленных пунктом</w:t>
      </w:r>
      <w:r>
        <w:rPr>
          <w:highlight w:val="white"/>
        </w:rPr>
        <w:t xml:space="preserve"> 2.4.2 </w:t>
      </w:r>
      <w:r>
        <w:rPr/>
        <w:t>Договора;</w:t>
      </w:r>
    </w:p>
    <w:p>
      <w:pPr>
        <w:pStyle w:val="ListParagraph"/>
        <w:numPr>
          <w:ilvl w:val="0"/>
          <w:numId w:val="9"/>
        </w:numPr>
        <w:tabs>
          <w:tab w:val="clear" w:pos="708"/>
          <w:tab w:val="left" w:pos="1134" w:leader="none"/>
        </w:tabs>
        <w:ind w:firstLine="709" w:left="0" w:right="23"/>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9"/>
        </w:numPr>
        <w:tabs>
          <w:tab w:val="clear" w:pos="708"/>
          <w:tab w:val="left" w:pos="1134" w:leader="none"/>
        </w:tabs>
        <w:ind w:firstLine="709" w:left="0" w:right="23"/>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3"/>
        </w:numPr>
        <w:tabs>
          <w:tab w:val="clear" w:pos="708"/>
          <w:tab w:val="left" w:pos="1134" w:leader="none"/>
        </w:tabs>
        <w:ind w:firstLine="709" w:left="0"/>
        <w:jc w:val="both"/>
        <w:rPr/>
      </w:pPr>
      <w: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3"/>
        </w:numPr>
        <w:tabs>
          <w:tab w:val="clear" w:pos="708"/>
          <w:tab w:val="left" w:pos="1134" w:leader="none"/>
        </w:tabs>
        <w:ind w:firstLine="709" w:left="0"/>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19"/>
        </w:numPr>
        <w:tabs>
          <w:tab w:val="clear" w:pos="708"/>
          <w:tab w:val="left" w:pos="1418" w:leader="none"/>
        </w:tabs>
        <w:ind w:firstLine="709" w:left="0"/>
        <w:jc w:val="both"/>
        <w:rPr/>
      </w:pPr>
      <w:r>
        <w:rPr/>
        <w:t>передать Заказчику Результат работ, техническую и иную полученную документацию, закупленные Материально-технические ресурсы</w:t>
      </w:r>
      <w:r>
        <w:rPr>
          <w:bCs/>
        </w:rPr>
        <w:t xml:space="preserve"> и оборудование;</w:t>
      </w:r>
    </w:p>
    <w:p>
      <w:pPr>
        <w:pStyle w:val="ListParagraph"/>
        <w:numPr>
          <w:ilvl w:val="0"/>
          <w:numId w:val="19"/>
        </w:numPr>
        <w:tabs>
          <w:tab w:val="clear" w:pos="708"/>
          <w:tab w:val="left" w:pos="1418" w:leader="none"/>
        </w:tabs>
        <w:ind w:firstLine="709" w:left="0"/>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9"/>
        </w:numPr>
        <w:tabs>
          <w:tab w:val="clear" w:pos="708"/>
          <w:tab w:val="left" w:pos="1418" w:leader="none"/>
        </w:tabs>
        <w:ind w:firstLine="709" w:left="0"/>
        <w:jc w:val="both"/>
        <w:rPr>
          <w:rFonts w:cs="Verdana"/>
        </w:rPr>
      </w:pPr>
      <w:r>
        <w:rPr>
          <w:rFonts w:cs="Verdana"/>
        </w:rPr>
        <w:t xml:space="preserve">удалить </w:t>
      </w:r>
      <w:r>
        <w:rPr/>
        <w:t xml:space="preserve">с места производства Работ </w:t>
      </w:r>
      <w:r>
        <w:rPr>
          <w:rFonts w:cs="Verdana"/>
        </w:rPr>
        <w:t xml:space="preserve">весь мусор и все остаточные продукты любого рода и оставить </w:t>
      </w:r>
      <w:r>
        <w:rPr>
          <w:rFonts w:cs="Verdana"/>
          <w:bCs/>
        </w:rPr>
        <w:t>Место производства Работ</w:t>
      </w:r>
      <w:r>
        <w:rPr>
          <w:rFonts w:cs="Verdana"/>
        </w:rPr>
        <w:t xml:space="preserve"> чистым и безопасным.</w:t>
      </w:r>
    </w:p>
    <w:p>
      <w:pPr>
        <w:pStyle w:val="ListParagraph"/>
        <w:numPr>
          <w:ilvl w:val="1"/>
          <w:numId w:val="3"/>
        </w:numPr>
        <w:tabs>
          <w:tab w:val="clear" w:pos="708"/>
          <w:tab w:val="left" w:pos="1134" w:leader="none"/>
        </w:tabs>
        <w:ind w:firstLine="709" w:left="0"/>
        <w:jc w:val="both"/>
        <w:rPr/>
      </w:pPr>
      <w: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w:t>
      </w:r>
      <w:r>
        <w:rPr>
          <w:highlight w:val="white"/>
        </w:rPr>
        <w:t>м 3.6.5 и 3.6.6 Д</w:t>
      </w:r>
      <w:r>
        <w:rPr/>
        <w:t>оговора.</w:t>
      </w:r>
    </w:p>
    <w:p>
      <w:pPr>
        <w:pStyle w:val="ListParagraph"/>
        <w:numPr>
          <w:ilvl w:val="1"/>
          <w:numId w:val="3"/>
        </w:numPr>
        <w:tabs>
          <w:tab w:val="clear" w:pos="708"/>
          <w:tab w:val="left" w:pos="1134" w:leader="none"/>
        </w:tabs>
        <w:ind w:firstLine="709" w:left="0"/>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numPr>
          <w:ilvl w:val="0"/>
          <w:numId w:val="0"/>
        </w:numPr>
        <w:tabs>
          <w:tab w:val="clear" w:pos="708"/>
          <w:tab w:val="left" w:pos="1134" w:leader="none"/>
        </w:tabs>
        <w:ind w:hanging="0" w:left="0"/>
        <w:jc w:val="both"/>
        <w:rPr/>
      </w:pPr>
      <w:r>
        <w:rPr/>
      </w:r>
    </w:p>
    <w:p>
      <w:pPr>
        <w:pStyle w:val="ListParagraph"/>
        <w:numPr>
          <w:ilvl w:val="0"/>
          <w:numId w:val="3"/>
        </w:numPr>
        <w:tabs>
          <w:tab w:val="clear" w:pos="708"/>
          <w:tab w:val="left" w:pos="426" w:leader="none"/>
        </w:tabs>
        <w:spacing w:lineRule="auto" w:line="240"/>
        <w:ind w:hanging="0" w:left="0"/>
        <w:jc w:val="center"/>
        <w:rPr>
          <w:bCs/>
          <w:sz w:val="24"/>
          <w:szCs w:val="24"/>
        </w:rPr>
      </w:pPr>
      <w:r>
        <w:rPr>
          <w:b/>
          <w:bCs/>
          <w:sz w:val="24"/>
          <w:szCs w:val="24"/>
        </w:rPr>
        <w:t>Разрешение споров</w:t>
      </w:r>
    </w:p>
    <w:p>
      <w:pPr>
        <w:pStyle w:val="Normal"/>
        <w:tabs>
          <w:tab w:val="clear" w:pos="708"/>
          <w:tab w:val="left" w:pos="1134" w:leader="none"/>
          <w:tab w:val="left" w:pos="1418" w:leader="none"/>
        </w:tabs>
        <w:spacing w:lineRule="auto" w:line="240"/>
        <w:ind w:hanging="0" w:left="709"/>
        <w:jc w:val="both"/>
        <w:rPr>
          <w:sz w:val="24"/>
          <w:szCs w:val="24"/>
        </w:rPr>
      </w:pPr>
      <w:r>
        <w:rPr>
          <w:bCs/>
          <w:sz w:val="24"/>
          <w:szCs w:val="24"/>
        </w:rPr>
        <w:t xml:space="preserve">16.1.   Все   споры,   разногласия   и   требования,   возникающие  между Сторонами из </w:t>
      </w:r>
    </w:p>
    <w:p>
      <w:pPr>
        <w:pStyle w:val="Normal"/>
        <w:tabs>
          <w:tab w:val="clear" w:pos="708"/>
          <w:tab w:val="left" w:pos="1134" w:leader="none"/>
          <w:tab w:val="left" w:pos="1418" w:leader="none"/>
        </w:tabs>
        <w:spacing w:lineRule="auto" w:line="240"/>
        <w:ind w:hanging="0" w:left="0"/>
        <w:jc w:val="both"/>
        <w:rPr>
          <w:sz w:val="24"/>
          <w:szCs w:val="24"/>
        </w:rPr>
      </w:pPr>
      <w:r>
        <w:rPr>
          <w:bCs/>
          <w:sz w:val="24"/>
          <w:szCs w:val="24"/>
        </w:rPr>
        <w:t>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3"/>
        </w:numPr>
        <w:tabs>
          <w:tab w:val="clear" w:pos="708"/>
          <w:tab w:val="left" w:pos="1134" w:leader="none"/>
          <w:tab w:val="left" w:pos="1418" w:leader="none"/>
        </w:tabs>
        <w:ind w:firstLine="709" w:left="0"/>
        <w:jc w:val="both"/>
        <w:rPr>
          <w:bCs/>
        </w:rPr>
      </w:pPr>
      <w:r>
        <w:rPr>
          <w:bCs/>
        </w:rPr>
        <w:t>Споры, указанные в пункте 16.1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Независимой гарантии, подсудность которых предусмотрена в п. 6.6 Договора.</w:t>
      </w:r>
    </w:p>
    <w:p>
      <w:pPr>
        <w:pStyle w:val="ListParagraph"/>
        <w:numPr>
          <w:ilvl w:val="1"/>
          <w:numId w:val="3"/>
        </w:numPr>
        <w:tabs>
          <w:tab w:val="clear" w:pos="708"/>
          <w:tab w:val="left" w:pos="1134" w:leader="none"/>
          <w:tab w:val="left" w:pos="1418" w:leader="none"/>
        </w:tabs>
        <w:ind w:firstLine="709" w:left="0"/>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lang w:val="en-US"/>
        </w:rPr>
        <w:t>7</w:t>
      </w:r>
      <w:r>
        <w:rPr>
          <w:bCs/>
        </w:rPr>
        <w:t>.7 Договора.</w:t>
      </w:r>
    </w:p>
    <w:p>
      <w:pPr>
        <w:pStyle w:val="ListParagraph"/>
        <w:numPr>
          <w:ilvl w:val="1"/>
          <w:numId w:val="3"/>
        </w:numPr>
        <w:tabs>
          <w:tab w:val="clear" w:pos="708"/>
          <w:tab w:val="left" w:pos="1134" w:leader="none"/>
          <w:tab w:val="left" w:pos="1418" w:leader="none"/>
        </w:tabs>
        <w:ind w:firstLine="709" w:left="0"/>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3"/>
        </w:numPr>
        <w:tabs>
          <w:tab w:val="clear" w:pos="708"/>
          <w:tab w:val="left" w:pos="1134" w:leader="none"/>
          <w:tab w:val="left" w:pos="1418" w:leader="none"/>
        </w:tabs>
        <w:ind w:firstLine="709" w:left="0"/>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tabs>
          <w:tab w:val="clear" w:pos="708"/>
          <w:tab w:val="left" w:pos="1418" w:leader="none"/>
        </w:tabs>
        <w:ind w:firstLine="567" w:left="0"/>
        <w:jc w:val="both"/>
        <w:rPr>
          <w:b/>
          <w:bCs/>
        </w:rPr>
      </w:pPr>
      <w:r>
        <w:rPr>
          <w:b/>
          <w:bCs/>
        </w:rPr>
      </w:r>
    </w:p>
    <w:p>
      <w:pPr>
        <w:pStyle w:val="ListParagraph"/>
        <w:numPr>
          <w:ilvl w:val="0"/>
          <w:numId w:val="3"/>
        </w:numPr>
        <w:tabs>
          <w:tab w:val="clear" w:pos="708"/>
          <w:tab w:val="left" w:pos="426" w:leader="none"/>
        </w:tabs>
        <w:ind w:hanging="0" w:left="0"/>
        <w:jc w:val="center"/>
        <w:rPr>
          <w:b/>
          <w:bCs/>
        </w:rPr>
      </w:pPr>
      <w:r>
        <w:rPr>
          <w:b/>
          <w:bCs/>
        </w:rPr>
        <w:t>Заключительные положения</w:t>
      </w:r>
    </w:p>
    <w:p>
      <w:pPr>
        <w:pStyle w:val="Normal"/>
        <w:spacing w:lineRule="auto" w:line="240"/>
        <w:ind w:hanging="0" w:left="709"/>
        <w:jc w:val="both"/>
        <w:rPr>
          <w:sz w:val="24"/>
          <w:szCs w:val="24"/>
          <w:u w:val="none"/>
        </w:rPr>
      </w:pPr>
      <w:r>
        <w:rPr>
          <w:sz w:val="24"/>
          <w:szCs w:val="24"/>
        </w:rPr>
        <w:t xml:space="preserve">17.1. Договор вступает в силу с даты его подписания Сторонами и действует по </w:t>
      </w:r>
      <w:r>
        <w:rPr>
          <w:sz w:val="24"/>
          <w:szCs w:val="24"/>
          <w:u w:val="none"/>
        </w:rPr>
        <w:t xml:space="preserve">«   » </w:t>
      </w:r>
    </w:p>
    <w:p>
      <w:pPr>
        <w:pStyle w:val="Normal"/>
        <w:spacing w:lineRule="auto" w:line="240"/>
        <w:ind w:hanging="0" w:left="0"/>
        <w:jc w:val="both"/>
        <w:rPr>
          <w:sz w:val="24"/>
          <w:szCs w:val="24"/>
        </w:rPr>
      </w:pPr>
      <w:r>
        <w:rPr>
          <w:sz w:val="24"/>
          <w:szCs w:val="24"/>
        </w:rPr>
        <w:t xml:space="preserve"> </w:t>
      </w:r>
      <w:r>
        <w:rPr>
          <w:sz w:val="24"/>
          <w:szCs w:val="24"/>
        </w:rPr>
        <w:t>__________ 20___ г. Истечение срока действия договора не влечет прекращения неисполненных по нему обязательств.</w:t>
      </w:r>
    </w:p>
    <w:p>
      <w:pPr>
        <w:pStyle w:val="ListParagraph"/>
        <w:numPr>
          <w:ilvl w:val="1"/>
          <w:numId w:val="3"/>
        </w:numPr>
        <w:tabs>
          <w:tab w:val="clear" w:pos="708"/>
          <w:tab w:val="left" w:pos="1134" w:leader="none"/>
        </w:tabs>
        <w:ind w:firstLine="709" w:left="0"/>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pPr>
        <w:pStyle w:val="ListParagraph"/>
        <w:numPr>
          <w:ilvl w:val="1"/>
          <w:numId w:val="3"/>
        </w:numPr>
        <w:tabs>
          <w:tab w:val="clear" w:pos="708"/>
          <w:tab w:val="left" w:pos="1134" w:leader="none"/>
        </w:tabs>
        <w:ind w:firstLine="709" w:left="0"/>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3"/>
        </w:numPr>
        <w:tabs>
          <w:tab w:val="clear" w:pos="708"/>
          <w:tab w:val="left" w:pos="1134" w:leader="none"/>
        </w:tabs>
        <w:ind w:firstLine="709" w:left="0"/>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3"/>
        </w:numPr>
        <w:tabs>
          <w:tab w:val="clear" w:pos="708"/>
          <w:tab w:val="left" w:pos="1134" w:leader="none"/>
        </w:tabs>
        <w:ind w:firstLine="709" w:left="0"/>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17.7 Договора. Документы, переданные при совершении сделки, с использованием факсимильной или электронной связи признаются сторонами, как имеющие юридическую силу, до момента получения их оригинальных экземпляров.</w:t>
      </w:r>
    </w:p>
    <w:p>
      <w:pPr>
        <w:pStyle w:val="ListParagraph"/>
        <w:numPr>
          <w:ilvl w:val="1"/>
          <w:numId w:val="3"/>
        </w:numPr>
        <w:tabs>
          <w:tab w:val="clear" w:pos="708"/>
          <w:tab w:val="left" w:pos="1134" w:leader="none"/>
        </w:tabs>
        <w:ind w:firstLine="709" w:left="0"/>
        <w:jc w:val="both"/>
        <w:rPr/>
      </w:pPr>
      <w:r>
        <w:rPr/>
        <w:t xml:space="preserve">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w:t>
      </w:r>
    </w:p>
    <w:p>
      <w:pPr>
        <w:pStyle w:val="Normal"/>
        <w:tabs>
          <w:tab w:val="clear" w:pos="708"/>
          <w:tab w:val="left" w:pos="1134" w:leader="none"/>
        </w:tabs>
        <w:spacing w:lineRule="auto" w:line="240"/>
        <w:ind w:hanging="0"/>
        <w:rPr>
          <w:sz w:val="24"/>
          <w:szCs w:val="24"/>
        </w:rPr>
      </w:pPr>
      <w:bookmarkStart w:id="40" w:name="_Ref361338004"/>
      <w:r>
        <w:rPr>
          <w:sz w:val="24"/>
          <w:szCs w:val="24"/>
        </w:rPr>
        <w:t>изменения в порядке, установленном пунктом 17.7 Договора.</w:t>
      </w:r>
      <w:bookmarkEnd w:id="40"/>
      <w:r>
        <w:rPr>
          <w:sz w:val="24"/>
          <w:szCs w:val="24"/>
        </w:rPr>
        <w:t xml:space="preserve"> </w:t>
      </w:r>
    </w:p>
    <w:p>
      <w:pPr>
        <w:pStyle w:val="ListParagraph"/>
        <w:numPr>
          <w:ilvl w:val="1"/>
          <w:numId w:val="3"/>
        </w:numPr>
        <w:tabs>
          <w:tab w:val="clear" w:pos="708"/>
          <w:tab w:val="left" w:pos="1134" w:leader="none"/>
        </w:tabs>
        <w:ind w:firstLine="709" w:left="0"/>
        <w:jc w:val="both"/>
        <w:rPr>
          <w:bCs/>
        </w:rPr>
      </w:pPr>
      <w:bookmarkStart w:id="41" w:name="_Ref361338019"/>
      <w:r>
        <w:rP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41"/>
    </w:p>
    <w:p>
      <w:pPr>
        <w:pStyle w:val="ListParagraph"/>
        <w:numPr>
          <w:ilvl w:val="2"/>
          <w:numId w:val="3"/>
        </w:numPr>
        <w:tabs>
          <w:tab w:val="clear" w:pos="708"/>
          <w:tab w:val="left" w:pos="1701" w:leader="none"/>
        </w:tabs>
        <w:ind w:firstLine="709" w:left="0"/>
        <w:jc w:val="both"/>
        <w:rPr>
          <w:bCs/>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3"/>
        </w:numPr>
        <w:tabs>
          <w:tab w:val="clear" w:pos="708"/>
          <w:tab w:val="left" w:pos="1701" w:leader="none"/>
        </w:tabs>
        <w:ind w:firstLine="709" w:left="0"/>
        <w:jc w:val="both"/>
        <w:rPr>
          <w:bCs/>
        </w:rPr>
      </w:pPr>
      <w:bookmarkStart w:id="42" w:name="_Ref361338032"/>
      <w:r>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2"/>
    </w:p>
    <w:p>
      <w:pPr>
        <w:pStyle w:val="ListParagraph"/>
        <w:numPr>
          <w:ilvl w:val="2"/>
          <w:numId w:val="3"/>
        </w:numPr>
        <w:tabs>
          <w:tab w:val="clear" w:pos="708"/>
          <w:tab w:val="left" w:pos="1701" w:leader="none"/>
        </w:tabs>
        <w:ind w:firstLine="709" w:left="0"/>
        <w:jc w:val="both"/>
        <w:rPr>
          <w:bCs/>
        </w:rPr>
      </w:pPr>
      <w:r>
        <w:rPr>
          <w:bCs/>
          <w:sz w:val="24"/>
          <w:szCs w:val="24"/>
        </w:rPr>
        <w:t xml:space="preserve">Электронной   почтой   –   в   дату   и   время   отправления,    подтвержденного </w:t>
      </w:r>
      <w:r>
        <w:rPr>
          <w:bCs/>
        </w:rPr>
        <w:t xml:space="preserve">протоколом передачи, распечатанным со Стороны-отправителя. В случае, если передача сообщения осуществляется вне обычных рабочих часов Стороны-получателя, документ будет считаться полученным в 10.00 следующего рабочего дня.  </w:t>
      </w:r>
    </w:p>
    <w:p>
      <w:pPr>
        <w:pStyle w:val="ListParagraph"/>
        <w:tabs>
          <w:tab w:val="clear" w:pos="708"/>
          <w:tab w:val="left" w:pos="1701" w:leader="none"/>
        </w:tabs>
        <w:ind w:firstLine="709" w:left="0"/>
        <w:jc w:val="both"/>
        <w:rPr>
          <w:bCs/>
        </w:rPr>
      </w:pPr>
      <w:r>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w:t>
      </w:r>
      <w:r>
        <w:rPr>
          <w:bCs/>
        </w:rPr>
        <w:t xml:space="preserve"> </w:t>
      </w:r>
    </w:p>
    <w:p>
      <w:pPr>
        <w:pStyle w:val="Normal"/>
        <w:numPr>
          <w:ilvl w:val="1"/>
          <w:numId w:val="3"/>
        </w:numPr>
        <w:spacing w:lineRule="auto" w:line="240"/>
        <w:ind w:firstLine="709" w:left="0"/>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3"/>
        </w:numPr>
        <w:tabs>
          <w:tab w:val="clear" w:pos="708"/>
          <w:tab w:val="left" w:pos="568" w:leader="none"/>
        </w:tabs>
        <w:ind w:firstLine="709" w:left="0"/>
        <w:jc w:val="both"/>
        <w:rPr>
          <w:bCs/>
        </w:rPr>
      </w:pPr>
      <w:r>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r>
        <w:rPr>
          <w:bCs/>
        </w:rPr>
        <w:t>.</w:t>
      </w:r>
      <w:r>
        <w:rPr/>
        <w:t xml:space="preserve"> </w:t>
      </w:r>
    </w:p>
    <w:p>
      <w:pPr>
        <w:pStyle w:val="ListParagraph"/>
        <w:numPr>
          <w:ilvl w:val="1"/>
          <w:numId w:val="3"/>
        </w:numPr>
        <w:tabs>
          <w:tab w:val="clear" w:pos="708"/>
          <w:tab w:val="left" w:pos="1134" w:leader="none"/>
        </w:tabs>
        <w:ind w:firstLine="709" w:left="0"/>
        <w:jc w:val="both"/>
        <w:rPr/>
      </w:pPr>
      <w:r>
        <w:rPr/>
        <w:t xml:space="preserve"> </w:t>
      </w:r>
      <w:r>
        <w:rPr/>
        <w:t xml:space="preserve">Стороны </w:t>
      </w:r>
      <w:r>
        <w:rPr>
          <w:bCs/>
          <w:sz w:val="24"/>
          <w:szCs w:val="24"/>
        </w:rPr>
        <w:t>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w:t>
      </w:r>
      <w:r>
        <w:rPr/>
        <w:t>он.</w:t>
      </w:r>
    </w:p>
    <w:p>
      <w:pPr>
        <w:pStyle w:val="ListParagraph"/>
        <w:numPr>
          <w:ilvl w:val="1"/>
          <w:numId w:val="3"/>
        </w:numPr>
        <w:spacing w:lineRule="atLeast" w:line="22"/>
        <w:ind w:firstLine="709" w:left="0"/>
        <w:jc w:val="both"/>
        <w:rPr>
          <w:sz w:val="32"/>
        </w:rPr>
      </w:pPr>
      <w:r>
        <w:rPr>
          <w:szCs w:val="20"/>
        </w:rPr>
        <w:t>Настоящий Договор заключается в электронной форме с использованием программно-аппаратных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w:t>
      </w:r>
    </w:p>
    <w:p>
      <w:pPr>
        <w:pStyle w:val="ListParagraph"/>
        <w:numPr>
          <w:ilvl w:val="1"/>
          <w:numId w:val="3"/>
        </w:numPr>
        <w:spacing w:lineRule="atLeast" w:line="22"/>
        <w:ind w:firstLine="709" w:left="0"/>
        <w:jc w:val="both"/>
        <w:rPr>
          <w:sz w:val="32"/>
        </w:rPr>
      </w:pPr>
      <w:r>
        <w:rPr>
          <w:szCs w:val="20"/>
        </w:rPr>
        <w:t>Во всем остальном, что не урегулировано Договором, Стороны руководствуются законодательством Российской Федерации.</w:t>
      </w:r>
    </w:p>
    <w:p>
      <w:pPr>
        <w:pStyle w:val="Normal"/>
        <w:spacing w:lineRule="atLeast" w:line="17"/>
        <w:ind w:hanging="0" w:left="709"/>
        <w:jc w:val="both"/>
        <w:rPr>
          <w:sz w:val="32"/>
          <w:szCs w:val="32"/>
        </w:rPr>
      </w:pPr>
      <w:r>
        <w:rPr>
          <w:sz w:val="32"/>
          <w:szCs w:val="32"/>
        </w:rPr>
      </w:r>
    </w:p>
    <w:p>
      <w:pPr>
        <w:pStyle w:val="ListParagraph"/>
        <w:numPr>
          <w:ilvl w:val="0"/>
          <w:numId w:val="3"/>
        </w:numPr>
        <w:tabs>
          <w:tab w:val="clear" w:pos="708"/>
          <w:tab w:val="left" w:pos="426" w:leader="none"/>
        </w:tabs>
        <w:ind w:hanging="0" w:left="0"/>
        <w:jc w:val="center"/>
        <w:rPr>
          <w:b/>
          <w:bCs/>
        </w:rPr>
      </w:pPr>
      <w:r>
        <w:rPr>
          <w:b/>
          <w:bCs/>
        </w:rPr>
        <w:t>Список приложений</w:t>
      </w:r>
    </w:p>
    <w:p>
      <w:pPr>
        <w:pStyle w:val="ListParagraph"/>
        <w:ind w:hanging="0" w:left="0"/>
        <w:rPr/>
      </w:pPr>
      <w:r>
        <w:rPr/>
        <w:t xml:space="preserve">Приложение № 1 – </w:t>
      </w:r>
      <w:r>
        <w:rPr>
          <w:bCs/>
        </w:rPr>
        <w:t>Технические требования</w:t>
      </w:r>
      <w:r>
        <w:rPr/>
        <w:t>;</w:t>
      </w:r>
    </w:p>
    <w:p>
      <w:pPr>
        <w:pStyle w:val="ListParagraph"/>
        <w:ind w:hanging="0" w:left="0"/>
        <w:rPr/>
      </w:pPr>
      <w:r>
        <w:rPr/>
        <w:t>Приложение № 1.1 – Задание на проектирование;</w:t>
      </w:r>
    </w:p>
    <w:p>
      <w:pPr>
        <w:pStyle w:val="ListParagraph"/>
        <w:ind w:hanging="0" w:left="0"/>
        <w:rPr/>
      </w:pPr>
      <w:r>
        <w:rPr/>
        <w:t>Приложение № 2 -   График производства и финансирования работ;</w:t>
      </w:r>
    </w:p>
    <w:p>
      <w:pPr>
        <w:pStyle w:val="ListParagraph"/>
        <w:ind w:hanging="0" w:left="0"/>
        <w:jc w:val="both"/>
        <w:rPr>
          <w:color w:themeColor="text1" w:val="000000"/>
        </w:rPr>
      </w:pPr>
      <w:r>
        <w:rPr/>
        <w:t xml:space="preserve">Приложение № 3 –   </w:t>
      </w:r>
      <w:r>
        <w:rPr>
          <w:color w:themeColor="text1" w:val="000000"/>
        </w:rPr>
        <w:t>Сводный сметный расчет стоимости строительства;</w:t>
      </w:r>
    </w:p>
    <w:p>
      <w:pPr>
        <w:pStyle w:val="ListParagraph"/>
        <w:ind w:hanging="0" w:left="0"/>
        <w:jc w:val="both"/>
        <w:rPr>
          <w:color w:themeColor="text1" w:val="000000"/>
        </w:rPr>
      </w:pPr>
      <w:r>
        <w:rPr>
          <w:color w:themeColor="text1" w:val="000000"/>
        </w:rPr>
        <w:t>Приложение № 3.1 – Смета на проектные работы;</w:t>
      </w:r>
    </w:p>
    <w:p>
      <w:pPr>
        <w:pStyle w:val="ListParagraph"/>
        <w:ind w:hanging="0" w:left="0"/>
        <w:jc w:val="both"/>
        <w:rPr/>
      </w:pPr>
      <w:r>
        <w:rPr/>
        <w:t>Приложение № 4 – Форма Акта сдачи-приемки места производства работ;</w:t>
      </w:r>
    </w:p>
    <w:p>
      <w:pPr>
        <w:pStyle w:val="ListParagraph"/>
        <w:ind w:hanging="0" w:left="0"/>
        <w:jc w:val="both"/>
        <w:rPr/>
      </w:pPr>
      <w:r>
        <w:rPr/>
        <w:t>Приложение № 4.1 –  Форма Акта сдачи-приемки технической и иной документации;</w:t>
      </w:r>
    </w:p>
    <w:p>
      <w:pPr>
        <w:pStyle w:val="ListParagraph"/>
        <w:ind w:hanging="0" w:left="0"/>
        <w:jc w:val="both"/>
        <w:rPr/>
      </w:pPr>
      <w:r>
        <w:rPr/>
        <w:t xml:space="preserve">Приложение № 5 –    Перечень допусков, разрешений и лицензий Подрядчика; </w:t>
      </w:r>
    </w:p>
    <w:p>
      <w:pPr>
        <w:pStyle w:val="ListParagraph"/>
        <w:ind w:hanging="0" w:left="0"/>
        <w:jc w:val="both"/>
        <w:rPr/>
      </w:pPr>
      <w:r>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ind w:hanging="0" w:left="0"/>
        <w:jc w:val="both"/>
        <w:rPr/>
      </w:pPr>
      <w:r>
        <w:rPr/>
        <w:t>Приложение № 7 –  Акт нарушения ОТ (форма);</w:t>
      </w:r>
    </w:p>
    <w:p>
      <w:pPr>
        <w:pStyle w:val="ListParagraph"/>
        <w:ind w:hanging="0" w:left="0"/>
        <w:jc w:val="both"/>
        <w:rPr/>
      </w:pPr>
      <w:r>
        <w:rPr/>
        <w:t xml:space="preserve">Приложение № 8 – Перечень исполнительной документации; </w:t>
      </w:r>
    </w:p>
    <w:p>
      <w:pPr>
        <w:pStyle w:val="ListParagraph"/>
        <w:ind w:hanging="0" w:left="0"/>
        <w:jc w:val="both"/>
        <w:rPr/>
      </w:pPr>
      <w:r>
        <w:rPr/>
        <w:t>Приложение № 9 – Форма Акта сдачи-приемки Проектных работ;</w:t>
      </w:r>
    </w:p>
    <w:p>
      <w:pPr>
        <w:pStyle w:val="ListParagraph"/>
        <w:ind w:hanging="0" w:left="0"/>
        <w:jc w:val="both"/>
        <w:rPr/>
      </w:pPr>
      <w:r>
        <w:rPr/>
        <w:t xml:space="preserve">Приложение № 10 –   Форма  письма о допуске персонала; </w:t>
      </w:r>
    </w:p>
    <w:p>
      <w:pPr>
        <w:pStyle w:val="ListParagraph"/>
        <w:ind w:hanging="0" w:left="0"/>
        <w:jc w:val="both"/>
        <w:rPr/>
      </w:pPr>
      <w:r>
        <w:rPr/>
        <w:t xml:space="preserve">Приложение № 11 – Форма Акта освидетельствования выполненных работ; </w:t>
      </w:r>
    </w:p>
    <w:p>
      <w:pPr>
        <w:pStyle w:val="ListParagraph"/>
        <w:ind w:hanging="0" w:left="0"/>
        <w:jc w:val="both"/>
        <w:rPr/>
      </w:pPr>
      <w:r>
        <w:rPr/>
        <w:t>Приложение № 12 – Порядок осуществления контроля соответствия показателей качества приобретаемых (используемых) Подрядчиком материалов, изделий конструкций и</w:t>
      </w:r>
    </w:p>
    <w:p>
      <w:pPr>
        <w:pStyle w:val="ListParagraph"/>
        <w:ind w:hanging="0" w:left="0"/>
        <w:jc w:val="both"/>
        <w:rPr/>
      </w:pPr>
      <w:r>
        <w:rPr/>
        <w:t xml:space="preserve">оборудования требованиям стандартов, технических условий или технических свидетельств на них, указанных в проектной документации и (или) договоре подряда на строительство (реконструкцию) объекта; </w:t>
      </w:r>
    </w:p>
    <w:p>
      <w:pPr>
        <w:pStyle w:val="ListParagraph"/>
        <w:ind w:hanging="0" w:left="0"/>
        <w:jc w:val="both"/>
        <w:rPr/>
      </w:pPr>
      <w:r>
        <w:rPr/>
        <w:t>Приложение № 13 – Форма КС-2;</w:t>
      </w:r>
    </w:p>
    <w:p>
      <w:pPr>
        <w:pStyle w:val="ListParagraph"/>
        <w:ind w:hanging="0" w:left="0"/>
        <w:jc w:val="both"/>
        <w:rPr/>
      </w:pPr>
      <w:r>
        <w:rPr/>
        <w:t>Приложение № 14 – Форма КС-3;</w:t>
      </w:r>
    </w:p>
    <w:p>
      <w:pPr>
        <w:pStyle w:val="ListParagraph"/>
        <w:ind w:hanging="0" w:left="0"/>
        <w:jc w:val="both"/>
        <w:rPr/>
      </w:pPr>
      <w:r>
        <w:rPr/>
        <w:t>Приложение № 15 – Форма КС-11;</w:t>
      </w:r>
    </w:p>
    <w:p>
      <w:pPr>
        <w:pStyle w:val="ListParagraph"/>
        <w:ind w:hanging="0" w:left="0"/>
        <w:jc w:val="both"/>
        <w:rPr/>
      </w:pPr>
      <w:r>
        <w:rPr/>
        <w:t>Приложение № 16 – Форма счета на оплату;</w:t>
      </w:r>
    </w:p>
    <w:p>
      <w:pPr>
        <w:pStyle w:val="ListParagraph"/>
        <w:ind w:hanging="0" w:left="0"/>
        <w:jc w:val="both"/>
        <w:rPr/>
      </w:pPr>
      <w:r>
        <w:rPr/>
        <w:t>Приложение № 17 –</w:t>
        <w:tab/>
        <w:t>Форма Независимой гарантии;</w:t>
      </w:r>
    </w:p>
    <w:p>
      <w:pPr>
        <w:pStyle w:val="ListParagraph"/>
        <w:ind w:hanging="0" w:left="0"/>
        <w:jc w:val="both"/>
        <w:rPr/>
      </w:pPr>
      <w:r>
        <w:rPr/>
        <w:t>Приложение № 18 - Форма требования об уплате денежной суммы по независимой гарантии;</w:t>
      </w:r>
    </w:p>
    <w:p>
      <w:pPr>
        <w:pStyle w:val="ListParagraph"/>
        <w:spacing w:lineRule="atLeast" w:line="22"/>
        <w:ind w:hanging="0" w:left="0"/>
        <w:jc w:val="both"/>
        <w:rPr/>
      </w:pPr>
      <w:r>
        <w:rPr/>
        <w:t>Приложение № 19 –   Порядок представления и согласования ИД на выполненные работы;</w:t>
      </w:r>
    </w:p>
    <w:p>
      <w:pPr>
        <w:pStyle w:val="ListParagraph"/>
        <w:spacing w:lineRule="atLeast" w:line="22"/>
        <w:ind w:hanging="0" w:left="0"/>
        <w:jc w:val="both"/>
        <w:rPr/>
      </w:pPr>
      <w:r>
        <w:rPr/>
        <w:t>Приложение№ 19.1 -   Форма Реестра исполнительной документации Р-1;</w:t>
      </w:r>
    </w:p>
    <w:p>
      <w:pPr>
        <w:pStyle w:val="ListParagraph"/>
        <w:spacing w:lineRule="atLeast" w:line="22"/>
        <w:ind w:hanging="0" w:left="0"/>
        <w:jc w:val="both"/>
        <w:rPr/>
      </w:pPr>
      <w:r>
        <w:rPr/>
        <w:t>Приложение№ 19.2 -   Форма Реестра исполнительной документации Р-2;</w:t>
      </w:r>
    </w:p>
    <w:p>
      <w:pPr>
        <w:pStyle w:val="ListParagraph"/>
        <w:ind w:hanging="0" w:left="0"/>
        <w:jc w:val="both"/>
        <w:rPr/>
      </w:pPr>
      <w:r>
        <w:rPr/>
      </w:r>
    </w:p>
    <w:p>
      <w:pPr>
        <w:pStyle w:val="ListParagraph"/>
        <w:ind w:hanging="0" w:left="0"/>
        <w:jc w:val="both"/>
        <w:rPr/>
      </w:pPr>
      <w:r>
        <w:rPr/>
      </w:r>
    </w:p>
    <w:p>
      <w:pPr>
        <w:pStyle w:val="ListParagraph"/>
        <w:ind w:hanging="0" w:left="0"/>
        <w:jc w:val="both"/>
        <w:rPr/>
      </w:pPr>
      <w:r>
        <w:rPr/>
      </w:r>
    </w:p>
    <w:p>
      <w:pPr>
        <w:pStyle w:val="ListParagraph"/>
        <w:ind w:hanging="0" w:left="0"/>
        <w:jc w:val="both"/>
        <w:rPr/>
      </w:pPr>
      <w:r>
        <w:rPr/>
      </w:r>
    </w:p>
    <w:p>
      <w:pPr>
        <w:pStyle w:val="ListParagraph"/>
        <w:numPr>
          <w:ilvl w:val="0"/>
          <w:numId w:val="3"/>
        </w:numPr>
        <w:tabs>
          <w:tab w:val="clear" w:pos="708"/>
          <w:tab w:val="left" w:pos="426" w:leader="none"/>
        </w:tabs>
        <w:ind w:hanging="0" w:left="0"/>
        <w:jc w:val="center"/>
        <w:rPr>
          <w:b/>
          <w:bCs/>
        </w:rPr>
      </w:pPr>
      <w:r>
        <w:rPr>
          <w:b/>
          <w:bCs/>
        </w:rPr>
        <w:t>Адреса и платежные реквизиты Сторон</w:t>
      </w:r>
    </w:p>
    <w:p>
      <w:pPr>
        <w:pStyle w:val="Normal"/>
        <w:spacing w:lineRule="auto" w:line="240"/>
        <w:ind w:hanging="0" w:left="5103"/>
        <w:rPr>
          <w:sz w:val="24"/>
          <w:szCs w:val="24"/>
        </w:rPr>
      </w:pPr>
      <w:r>
        <w:rPr>
          <w:sz w:val="24"/>
          <w:szCs w:val="24"/>
        </w:rPr>
      </w:r>
    </w:p>
    <w:tbl>
      <w:tblPr>
        <w:tblW w:w="9944" w:type="dxa"/>
        <w:jc w:val="left"/>
        <w:tblInd w:w="109" w:type="dxa"/>
        <w:tblLayout w:type="fixed"/>
        <w:tblCellMar>
          <w:top w:w="0" w:type="dxa"/>
          <w:left w:w="108" w:type="dxa"/>
          <w:bottom w:w="0" w:type="dxa"/>
          <w:right w:w="108" w:type="dxa"/>
        </w:tblCellMar>
        <w:tblLook w:val="0000" w:noHBand="0" w:noVBand="0" w:firstColumn="0" w:lastRow="0" w:lastColumn="0" w:firstRow="0"/>
      </w:tblPr>
      <w:tblGrid>
        <w:gridCol w:w="5103"/>
        <w:gridCol w:w="4840"/>
      </w:tblGrid>
      <w:tr>
        <w:trPr>
          <w:trHeight w:val="792" w:hRule="atLeast"/>
        </w:trPr>
        <w:tc>
          <w:tcPr>
            <w:tcW w:w="5103" w:type="dxa"/>
            <w:tcBorders/>
          </w:tcPr>
          <w:p>
            <w:pPr>
              <w:pStyle w:val="Normal"/>
              <w:spacing w:lineRule="auto" w:line="276"/>
              <w:ind w:hanging="0"/>
              <w:jc w:val="left"/>
              <w:rPr>
                <w:b/>
                <w:sz w:val="24"/>
                <w:szCs w:val="24"/>
              </w:rPr>
            </w:pPr>
            <w:r>
              <w:rPr>
                <w:sz w:val="24"/>
                <w:szCs w:val="24"/>
              </w:rPr>
              <w:t xml:space="preserve">                         </w:t>
            </w:r>
            <w:r>
              <w:rPr>
                <w:b/>
                <w:sz w:val="24"/>
                <w:szCs w:val="24"/>
              </w:rPr>
              <w:t>Заказчик:</w:t>
            </w:r>
          </w:p>
          <w:p>
            <w:pPr>
              <w:pStyle w:val="Normal"/>
              <w:shd w:val="clear" w:color="auto" w:fill="FFFFFF"/>
              <w:spacing w:lineRule="auto" w:line="240"/>
              <w:ind w:firstLine="29" w:left="-68" w:right="79"/>
              <w:rPr>
                <w:b/>
                <w:color w:val="000000"/>
                <w:sz w:val="24"/>
              </w:rPr>
            </w:pPr>
            <w:r>
              <w:rPr>
                <w:b/>
                <w:color w:val="000000"/>
                <w:sz w:val="24"/>
              </w:rPr>
              <w:t>АО «ДГК»</w:t>
            </w:r>
          </w:p>
          <w:p>
            <w:pPr>
              <w:pStyle w:val="Normal"/>
              <w:spacing w:lineRule="auto" w:line="240"/>
              <w:ind w:hanging="0" w:left="-68"/>
              <w:rPr>
                <w:sz w:val="24"/>
              </w:rPr>
            </w:pPr>
            <w:r>
              <w:rPr>
                <w:sz w:val="24"/>
              </w:rPr>
              <w:t>Место нахождения: РФ, Хабаровск</w:t>
            </w:r>
          </w:p>
          <w:p>
            <w:pPr>
              <w:pStyle w:val="Normal"/>
              <w:spacing w:lineRule="auto" w:line="240"/>
              <w:ind w:hanging="0" w:left="-68"/>
              <w:rPr>
                <w:sz w:val="24"/>
              </w:rPr>
            </w:pPr>
            <w:r>
              <w:rPr>
                <w:sz w:val="24"/>
              </w:rPr>
              <w:t>Адрес: 680000, Хабаровский край, г. Хабаровск, ул. Фрунзе, 49</w:t>
            </w:r>
          </w:p>
          <w:p>
            <w:pPr>
              <w:pStyle w:val="Normal"/>
              <w:shd w:val="clear" w:color="auto" w:fill="FFFFFF"/>
              <w:spacing w:lineRule="auto" w:line="240"/>
              <w:ind w:firstLine="29" w:left="-68" w:right="79"/>
              <w:rPr>
                <w:color w:val="000000"/>
                <w:sz w:val="24"/>
              </w:rPr>
            </w:pPr>
            <w:r>
              <w:rPr>
                <w:color w:val="000000"/>
                <w:sz w:val="24"/>
              </w:rPr>
            </w:r>
          </w:p>
          <w:p>
            <w:pPr>
              <w:pStyle w:val="Normal"/>
              <w:shd w:val="clear" w:color="auto" w:fill="FFFFFF"/>
              <w:spacing w:lineRule="auto" w:line="240"/>
              <w:ind w:firstLine="29" w:left="-68" w:right="79"/>
              <w:rPr>
                <w:color w:val="000000"/>
                <w:sz w:val="24"/>
              </w:rPr>
            </w:pPr>
            <w:r>
              <w:rPr>
                <w:color w:val="000000"/>
                <w:sz w:val="24"/>
              </w:rPr>
              <w:t>ИНН 1434031363 КПП 997650001</w:t>
            </w:r>
          </w:p>
          <w:p>
            <w:pPr>
              <w:pStyle w:val="Normal"/>
              <w:shd w:val="clear" w:color="auto" w:fill="FFFFFF"/>
              <w:spacing w:lineRule="auto" w:line="240"/>
              <w:ind w:firstLine="29" w:left="-68" w:right="79"/>
              <w:rPr>
                <w:color w:val="000000"/>
                <w:sz w:val="24"/>
              </w:rPr>
            </w:pPr>
            <w:r>
              <w:rPr>
                <w:color w:val="000000"/>
                <w:sz w:val="24"/>
              </w:rPr>
              <w:t>ОГРН 1051401746769</w:t>
            </w:r>
          </w:p>
          <w:p>
            <w:pPr>
              <w:pStyle w:val="Normal"/>
              <w:shd w:val="clear" w:color="auto" w:fill="FFFFFF"/>
              <w:spacing w:lineRule="auto" w:line="240"/>
              <w:ind w:firstLine="29" w:left="-68" w:right="79"/>
              <w:rPr>
                <w:color w:val="000000"/>
                <w:sz w:val="24"/>
              </w:rPr>
            </w:pPr>
            <w:r>
              <w:rPr>
                <w:color w:val="000000"/>
                <w:sz w:val="24"/>
              </w:rPr>
              <w:t>Дальневосточный Банк ПАО «Сбербанк России» г. Хабаровск</w:t>
            </w:r>
          </w:p>
          <w:p>
            <w:pPr>
              <w:pStyle w:val="Normal"/>
              <w:shd w:val="clear" w:color="auto" w:fill="FFFFFF"/>
              <w:spacing w:lineRule="auto" w:line="240"/>
              <w:ind w:firstLine="29" w:left="-68" w:right="79"/>
              <w:rPr>
                <w:color w:val="000000"/>
                <w:sz w:val="24"/>
              </w:rPr>
            </w:pPr>
            <w:r>
              <w:rPr>
                <w:color w:val="000000"/>
                <w:sz w:val="24"/>
              </w:rPr>
              <w:t>р/сч 40702810270000008818</w:t>
            </w:r>
          </w:p>
          <w:p>
            <w:pPr>
              <w:pStyle w:val="Normal"/>
              <w:shd w:val="clear" w:color="auto" w:fill="FFFFFF"/>
              <w:spacing w:lineRule="auto" w:line="240"/>
              <w:ind w:firstLine="29" w:left="-68" w:right="79"/>
              <w:rPr>
                <w:color w:val="000000"/>
                <w:sz w:val="24"/>
              </w:rPr>
            </w:pPr>
            <w:r>
              <w:rPr>
                <w:color w:val="000000"/>
                <w:sz w:val="24"/>
              </w:rPr>
              <w:t>к/сч 30101810600000000608</w:t>
            </w:r>
          </w:p>
          <w:p>
            <w:pPr>
              <w:pStyle w:val="Normal"/>
              <w:shd w:val="clear" w:color="auto" w:fill="FFFFFF"/>
              <w:spacing w:lineRule="auto" w:line="240"/>
              <w:ind w:firstLine="29" w:left="-68" w:right="79"/>
              <w:rPr>
                <w:color w:val="000000"/>
                <w:sz w:val="24"/>
              </w:rPr>
            </w:pPr>
            <w:r>
              <w:rPr>
                <w:color w:val="000000"/>
                <w:sz w:val="24"/>
              </w:rPr>
              <w:t>БИК 040813608</w:t>
            </w:r>
          </w:p>
          <w:p>
            <w:pPr>
              <w:pStyle w:val="Normal"/>
              <w:shd w:val="clear" w:color="auto" w:fill="FFFFFF"/>
              <w:spacing w:lineRule="auto" w:line="240"/>
              <w:ind w:firstLine="29" w:left="-68" w:right="79"/>
              <w:rPr>
                <w:b/>
                <w:color w:val="000000"/>
                <w:sz w:val="24"/>
              </w:rPr>
            </w:pPr>
            <w:r>
              <w:rPr>
                <w:b/>
                <w:color w:val="000000"/>
                <w:sz w:val="24"/>
              </w:rPr>
              <w:t>СП «Амурские тепловые сети»</w:t>
            </w:r>
          </w:p>
          <w:p>
            <w:pPr>
              <w:pStyle w:val="Normal"/>
              <w:shd w:val="clear" w:color="auto" w:fill="FFFFFF"/>
              <w:spacing w:lineRule="auto" w:line="240"/>
              <w:ind w:firstLine="29" w:left="-68" w:right="79"/>
              <w:rPr>
                <w:color w:val="000000"/>
                <w:sz w:val="24"/>
              </w:rPr>
            </w:pPr>
            <w:r>
              <w:rPr>
                <w:color w:val="000000"/>
                <w:sz w:val="24"/>
              </w:rPr>
              <w:t>Адрес для корреспонденции:</w:t>
            </w:r>
          </w:p>
          <w:p>
            <w:pPr>
              <w:pStyle w:val="Normal"/>
              <w:shd w:val="clear" w:color="auto" w:fill="FFFFFF"/>
              <w:spacing w:lineRule="auto" w:line="240"/>
              <w:ind w:hanging="0" w:left="-68" w:right="79"/>
              <w:rPr>
                <w:color w:val="000000"/>
                <w:sz w:val="24"/>
              </w:rPr>
            </w:pPr>
            <w:r>
              <w:rPr>
                <w:color w:val="000000"/>
                <w:sz w:val="24"/>
              </w:rPr>
              <w:t>675007, Амурская область, г. Благовещенск, ул.   Нагорная, 19</w:t>
            </w:r>
          </w:p>
          <w:p>
            <w:pPr>
              <w:pStyle w:val="Normal"/>
              <w:shd w:val="clear" w:color="auto" w:fill="FFFFFF"/>
              <w:spacing w:lineRule="auto" w:line="240"/>
              <w:ind w:firstLine="29" w:left="-68" w:right="79"/>
              <w:rPr>
                <w:color w:val="000000"/>
                <w:sz w:val="24"/>
              </w:rPr>
            </w:pPr>
            <w:r>
              <w:rPr>
                <w:color w:val="000000"/>
                <w:sz w:val="24"/>
              </w:rPr>
              <w:t>ИНН 1434031363 КПП 280145002</w:t>
            </w:r>
          </w:p>
          <w:p>
            <w:pPr>
              <w:pStyle w:val="Normal"/>
              <w:shd w:val="clear" w:color="auto" w:fill="FFFFFF"/>
              <w:spacing w:lineRule="auto" w:line="240"/>
              <w:ind w:firstLine="29" w:left="-68" w:right="79"/>
              <w:rPr>
                <w:color w:val="000000"/>
                <w:sz w:val="24"/>
              </w:rPr>
            </w:pPr>
            <w:r>
              <w:rPr>
                <w:color w:val="000000"/>
                <w:sz w:val="24"/>
              </w:rPr>
              <w:t>ОКПО 86775182 ОКТМО 1070100001</w:t>
            </w:r>
          </w:p>
          <w:p>
            <w:pPr>
              <w:pStyle w:val="Normal"/>
              <w:shd w:val="clear" w:color="auto" w:fill="FFFFFF"/>
              <w:spacing w:lineRule="auto" w:line="240"/>
              <w:ind w:firstLine="29" w:left="-68" w:right="79"/>
              <w:rPr>
                <w:color w:val="000000"/>
                <w:sz w:val="24"/>
              </w:rPr>
            </w:pPr>
            <w:r>
              <w:rPr>
                <w:color w:val="000000"/>
                <w:sz w:val="24"/>
              </w:rPr>
              <w:t>ОКОГУ 4210014 ОКФС 16 ОКОПФ 30003</w:t>
            </w:r>
          </w:p>
          <w:p>
            <w:pPr>
              <w:pStyle w:val="Normal"/>
              <w:shd w:val="clear" w:color="auto" w:fill="FFFFFF"/>
              <w:spacing w:lineRule="auto" w:line="240"/>
              <w:ind w:firstLine="29" w:left="-68" w:right="79"/>
              <w:rPr>
                <w:color w:val="000000"/>
                <w:sz w:val="24"/>
              </w:rPr>
            </w:pPr>
            <w:r>
              <w:rPr>
                <w:color w:val="000000"/>
                <w:sz w:val="24"/>
              </w:rPr>
            </w:r>
          </w:p>
          <w:p>
            <w:pPr>
              <w:pStyle w:val="Normal"/>
              <w:shd w:val="clear" w:color="auto" w:fill="FFFFFF"/>
              <w:spacing w:lineRule="auto" w:line="240"/>
              <w:ind w:hanging="5" w:left="-68" w:right="79"/>
              <w:rPr>
                <w:color w:val="000000"/>
                <w:sz w:val="24"/>
              </w:rPr>
            </w:pPr>
            <w:r>
              <w:rPr>
                <w:color w:val="000000"/>
                <w:sz w:val="24"/>
              </w:rPr>
              <w:t>Телефон 398-339 Факс 398-452</w:t>
            </w:r>
          </w:p>
          <w:p>
            <w:pPr>
              <w:pStyle w:val="Normal"/>
              <w:widowControl w:val="false"/>
              <w:tabs>
                <w:tab w:val="clear" w:pos="708"/>
                <w:tab w:val="left" w:pos="6036" w:leader="none"/>
              </w:tabs>
              <w:spacing w:lineRule="auto" w:line="240"/>
              <w:ind w:hanging="0" w:left="-68"/>
              <w:rPr>
                <w:color w:val="000000"/>
                <w:sz w:val="24"/>
                <w:lang w:val="en-US"/>
              </w:rPr>
            </w:pPr>
            <w:r>
              <w:rPr>
                <w:color w:val="000000"/>
                <w:sz w:val="24"/>
                <w:lang w:val="en-US"/>
              </w:rPr>
              <w:t xml:space="preserve">E-mail </w:t>
            </w:r>
            <w:hyperlink r:id="rId5" w:tgtFrame="mailto:doc-ats@dgk.ru">
              <w:r>
                <w:rPr>
                  <w:rStyle w:val="Hyperlink"/>
                  <w:sz w:val="24"/>
                  <w:lang w:val="en-US"/>
                </w:rPr>
                <w:t>doc-ats@dgk.ru</w:t>
              </w:r>
            </w:hyperlink>
          </w:p>
          <w:p>
            <w:pPr>
              <w:pStyle w:val="Normal"/>
              <w:widowControl w:val="false"/>
              <w:tabs>
                <w:tab w:val="clear" w:pos="708"/>
                <w:tab w:val="left" w:pos="6036" w:leader="none"/>
              </w:tabs>
              <w:spacing w:lineRule="auto" w:line="240"/>
              <w:ind w:hanging="0" w:left="-68"/>
              <w:rPr>
                <w:sz w:val="22"/>
                <w:szCs w:val="24"/>
                <w:lang w:val="en-US"/>
              </w:rPr>
            </w:pPr>
            <w:r>
              <w:rPr>
                <w:sz w:val="22"/>
                <w:szCs w:val="24"/>
                <w:lang w:val="en-US"/>
              </w:rPr>
            </w:r>
          </w:p>
          <w:p>
            <w:pPr>
              <w:pStyle w:val="Normal"/>
              <w:widowControl w:val="false"/>
              <w:tabs>
                <w:tab w:val="clear" w:pos="708"/>
                <w:tab w:val="left" w:pos="6036" w:leader="none"/>
              </w:tabs>
              <w:spacing w:lineRule="atLeast" w:line="21"/>
              <w:ind w:hanging="0" w:left="-68"/>
              <w:rPr>
                <w:sz w:val="24"/>
                <w:szCs w:val="24"/>
              </w:rPr>
            </w:pPr>
            <w:r>
              <w:rPr>
                <w:sz w:val="24"/>
                <w:szCs w:val="24"/>
              </w:rPr>
              <w:t>Директор СП</w:t>
            </w:r>
          </w:p>
          <w:p>
            <w:pPr>
              <w:pStyle w:val="Normal"/>
              <w:widowControl w:val="false"/>
              <w:spacing w:lineRule="atLeast" w:line="21"/>
              <w:ind w:hanging="0" w:left="-68"/>
              <w:rPr>
                <w:sz w:val="24"/>
                <w:szCs w:val="24"/>
              </w:rPr>
            </w:pPr>
            <w:r>
              <w:rPr>
                <w:sz w:val="24"/>
                <w:szCs w:val="24"/>
              </w:rPr>
              <w:t>«Амурские тепловые сети»</w:t>
            </w:r>
          </w:p>
          <w:p>
            <w:pPr>
              <w:pStyle w:val="Normal"/>
              <w:widowControl w:val="false"/>
              <w:spacing w:lineRule="atLeast" w:line="21"/>
              <w:ind w:hanging="0" w:left="-68"/>
              <w:rPr>
                <w:sz w:val="24"/>
                <w:szCs w:val="24"/>
              </w:rPr>
            </w:pPr>
            <w:r>
              <w:rPr>
                <w:sz w:val="24"/>
                <w:szCs w:val="24"/>
              </w:rPr>
              <w:t>_________________</w:t>
            </w:r>
          </w:p>
          <w:p>
            <w:pPr>
              <w:pStyle w:val="Normal"/>
              <w:widowControl w:val="false"/>
              <w:spacing w:lineRule="atLeast" w:line="21"/>
              <w:ind w:hanging="0" w:left="-68"/>
              <w:rPr>
                <w:sz w:val="24"/>
                <w:szCs w:val="24"/>
              </w:rPr>
            </w:pPr>
            <w:r>
              <w:rPr>
                <w:sz w:val="24"/>
                <w:szCs w:val="24"/>
              </w:rPr>
              <w:t>«_____» ______________ 2026 г.</w:t>
            </w:r>
          </w:p>
          <w:p>
            <w:pPr>
              <w:pStyle w:val="Normal"/>
              <w:widowControl w:val="false"/>
              <w:spacing w:lineRule="auto" w:line="240"/>
              <w:ind w:firstLine="33" w:left="426"/>
              <w:jc w:val="left"/>
              <w:rPr>
                <w:bCs/>
                <w:sz w:val="24"/>
                <w:szCs w:val="24"/>
              </w:rPr>
            </w:pPr>
            <w:r>
              <w:rPr>
                <w:color w:val="000000"/>
                <w:sz w:val="24"/>
                <w:szCs w:val="24"/>
              </w:rPr>
              <w:t>м.п.</w:t>
            </w:r>
          </w:p>
        </w:tc>
        <w:tc>
          <w:tcPr>
            <w:tcW w:w="4840" w:type="dxa"/>
            <w:tcBorders/>
          </w:tcPr>
          <w:p>
            <w:pPr>
              <w:pStyle w:val="Normal"/>
              <w:widowControl w:val="false"/>
              <w:tabs>
                <w:tab w:val="clear" w:pos="708"/>
                <w:tab w:val="left" w:pos="6036" w:leader="none"/>
              </w:tabs>
              <w:spacing w:lineRule="auto" w:line="240"/>
              <w:ind w:hanging="0" w:left="318"/>
              <w:rPr>
                <w:b/>
                <w:sz w:val="24"/>
                <w:szCs w:val="24"/>
              </w:rPr>
            </w:pPr>
            <w:r>
              <w:rPr>
                <w:sz w:val="24"/>
                <w:szCs w:val="24"/>
              </w:rPr>
              <w:t xml:space="preserve">                        </w:t>
            </w:r>
            <w:r>
              <w:rPr>
                <w:b/>
                <w:sz w:val="24"/>
                <w:szCs w:val="24"/>
              </w:rPr>
              <w:t>Подрядчик:</w:t>
            </w:r>
          </w:p>
          <w:p>
            <w:pPr>
              <w:pStyle w:val="Normal"/>
              <w:widowControl w:val="false"/>
              <w:tabs>
                <w:tab w:val="clear" w:pos="708"/>
                <w:tab w:val="left" w:pos="6036" w:leader="none"/>
              </w:tabs>
              <w:spacing w:lineRule="auto" w:line="240"/>
              <w:ind w:hanging="0"/>
              <w:jc w:val="right"/>
              <w:rPr>
                <w:sz w:val="24"/>
                <w:szCs w:val="24"/>
              </w:rPr>
            </w:pPr>
            <w:r>
              <w:rPr>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left="885"/>
              <w:jc w:val="left"/>
              <w:rPr>
                <w:color w:val="000000"/>
                <w:sz w:val="24"/>
                <w:szCs w:val="24"/>
              </w:rPr>
            </w:pPr>
            <w:r>
              <w:rPr>
                <w:color w:val="000000"/>
                <w:sz w:val="24"/>
                <w:szCs w:val="24"/>
              </w:rPr>
            </w:r>
          </w:p>
          <w:p>
            <w:pPr>
              <w:pStyle w:val="Normal"/>
              <w:widowControl w:val="false"/>
              <w:tabs>
                <w:tab w:val="clear" w:pos="708"/>
                <w:tab w:val="left" w:pos="6036" w:leader="none"/>
              </w:tabs>
              <w:spacing w:lineRule="auto" w:line="240"/>
              <w:ind w:hanging="0"/>
              <w:jc w:val="left"/>
              <w:rPr>
                <w:sz w:val="24"/>
                <w:szCs w:val="24"/>
              </w:rPr>
            </w:pPr>
            <w:r>
              <w:rPr>
                <w:sz w:val="24"/>
                <w:szCs w:val="24"/>
              </w:rPr>
            </w:r>
          </w:p>
        </w:tc>
      </w:tr>
    </w:tbl>
    <w:p>
      <w:pPr>
        <w:pStyle w:val="Normal"/>
        <w:spacing w:lineRule="auto" w:line="240"/>
        <w:ind w:hanging="0"/>
        <w:rPr>
          <w:sz w:val="24"/>
          <w:szCs w:val="24"/>
        </w:rPr>
      </w:pPr>
      <w:r>
        <w:rPr>
          <w:sz w:val="24"/>
          <w:szCs w:val="24"/>
        </w:rPr>
      </w:r>
    </w:p>
    <w:sectPr>
      <w:headerReference w:type="default" r:id="rId6"/>
      <w:footerReference w:type="default" r:id="rId7"/>
      <w:footnotePr>
        <w:numFmt w:val="decimal"/>
      </w:footnotePr>
      <w:type w:val="nextPage"/>
      <w:pgSz w:w="11906" w:h="16838"/>
      <w:pgMar w:left="1418" w:right="851" w:gutter="0" w:header="284" w:top="568" w:footer="590" w:bottom="99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MS Reference Sans Serif">
    <w:charset w:val="01"/>
    <w:family w:val="roman"/>
    <w:pitch w:val="variable"/>
  </w:font>
  <w:font w:name="Segoe UI">
    <w:charset w:val="01"/>
    <w:family w:val="roman"/>
    <w:pitch w:val="variable"/>
  </w:font>
  <w:font w:name="Open Sans">
    <w:charset w:val="01"/>
    <w:family w:val="roman"/>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24"/>
        <w:szCs w:val="24"/>
      </w:rPr>
    </w:pPr>
    <w:r>
      <w:rPr>
        <w:sz w:val="24"/>
        <w:szCs w:val="24"/>
      </w:rPr>
      <w:t xml:space="preserve">                                                                               </w:t>
    </w:r>
  </w:p>
  <w:p>
    <w:pPr>
      <w:pStyle w:val="Footer"/>
      <w:jc w:val="right"/>
      <w:rPr>
        <w:sz w:val="24"/>
        <w:szCs w:val="24"/>
      </w:rPr>
    </w:pPr>
    <w:r>
      <w:rPr>
        <w:sz w:val="24"/>
        <w:szCs w:val="24"/>
      </w:rPr>
      <w:fldChar w:fldCharType="begin"/>
    </w:r>
    <w:r>
      <w:rPr>
        <w:sz w:val="24"/>
        <w:szCs w:val="24"/>
      </w:rPr>
      <w:instrText xml:space="preserve"> PAGE </w:instrText>
    </w:r>
    <w:r>
      <w:rPr>
        <w:sz w:val="24"/>
        <w:szCs w:val="24"/>
      </w:rPr>
      <w:fldChar w:fldCharType="separate"/>
    </w:r>
    <w:r>
      <w:rPr>
        <w:sz w:val="24"/>
        <w:szCs w:val="24"/>
      </w:rPr>
      <w:t>4</w:t>
    </w:r>
    <w:r>
      <w:rPr>
        <w:sz w:val="24"/>
        <w:szCs w:val="24"/>
      </w:rPr>
      <w:fldChar w:fldCharType="end"/>
    </w:r>
  </w:p>
  <w:p>
    <w:pPr>
      <w:pStyle w:val="Footer"/>
      <w:jc w:val="right"/>
      <w:rPr>
        <w:lang w:val="en-US"/>
      </w:rPr>
    </w:pPr>
    <w:r>
      <w:rPr>
        <w:lang w:val="en-US"/>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color w:val="auto"/>
        </w:rPr>
      </w:pPr>
      <w:r>
        <w:rPr>
          <w:rStyle w:val="Style8"/>
        </w:rPr>
        <w:footnoteRef/>
      </w:r>
      <w:r>
        <w:rPr>
          <w:color w:val="auto"/>
        </w:rPr>
        <w:t>Необходимость участия Подрядчика в конкретном СРО определяется в зависимости от состава Работ, выполняемых по Договору.</w:t>
      </w:r>
    </w:p>
  </w:footnote>
  <w:footnote w:id="3">
    <w:p>
      <w:pPr>
        <w:pStyle w:val="FootnoteText"/>
        <w:rPr/>
      </w:pPr>
      <w:r>
        <w:rPr>
          <w:rStyle w:val="Style8"/>
        </w:rPr>
        <w:footnoteRef/>
      </w:r>
      <w:r>
        <w:rPr/>
        <w:t>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pPr>
        <w:pStyle w:val="FootnoteText"/>
        <w:rPr/>
      </w:pPr>
      <w:r>
        <w:rPr/>
        <w:t>-</w:t>
        <w:tab/>
        <w:t>размер обязательств по одному договору не превышает 10 000 000 (десяти миллионов) рублей (по договорам строительного подряда);</w:t>
      </w:r>
    </w:p>
    <w:p>
      <w:pPr>
        <w:pStyle w:val="FootnoteText"/>
        <w:rPr/>
      </w:pPr>
      <w:r>
        <w:rPr/>
        <w:t>-</w:t>
        <w:tab/>
        <w:t>при выполнении работ по строительству, реконструкции, капитальному ремонту объектов, не являющихся объектами капитального строительства;</w:t>
      </w:r>
    </w:p>
    <w:p>
      <w:pPr>
        <w:pStyle w:val="FootnoteText"/>
        <w:rPr/>
      </w:pPr>
      <w:r>
        <w:rPr/>
        <w:t>-</w:t>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pPr>
        <w:pStyle w:val="FootnoteText"/>
        <w:rPr/>
      </w:pPr>
      <w:r>
        <w:rPr/>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4">
    <w:p>
      <w:pPr>
        <w:pStyle w:val="FootnoteText"/>
        <w:jc w:val="both"/>
        <w:rPr>
          <w:color w:val="auto"/>
        </w:rPr>
      </w:pPr>
      <w:r>
        <w:rPr>
          <w:rStyle w:val="Style8"/>
        </w:rPr>
        <w:footnoteRef/>
      </w:r>
      <w:r>
        <w:rPr>
          <w:color w:val="auto"/>
        </w:rPr>
        <w:t>Необходимость выполнения работ по Договору конкретными специалистами Подрядчика определяется в зависимости от состава Работ, выполняемых по Договору.</w:t>
      </w:r>
    </w:p>
  </w:footnote>
  <w:footnote w:id="5">
    <w:p>
      <w:pPr>
        <w:pStyle w:val="FootnoteText"/>
        <w:jc w:val="both"/>
        <w:rPr>
          <w:color w:val="auto"/>
        </w:rPr>
      </w:pPr>
      <w:r>
        <w:rPr>
          <w:rStyle w:val="Style8"/>
        </w:rPr>
        <w:footnoteRef/>
      </w:r>
      <w:r>
        <w:rPr>
          <w:color w:val="auto"/>
        </w:rPr>
        <w:t xml:space="preserve">В случае, если членство в СРО требуется в соответствии с законодательством Российской Федерации </w:t>
      </w:r>
    </w:p>
  </w:footnote>
  <w:footnote w:id="6">
    <w:p>
      <w:pPr>
        <w:pStyle w:val="FootnoteText"/>
        <w:jc w:val="both"/>
        <w:rPr>
          <w:color w:val="auto"/>
        </w:rPr>
      </w:pPr>
      <w:r>
        <w:rPr>
          <w:rStyle w:val="Style8"/>
        </w:rPr>
        <w:footnoteRef/>
      </w:r>
      <w:r>
        <w:rPr>
          <w:color w:val="auto"/>
        </w:rPr>
        <w:t>В случае, если членство в СРО требуется в соответствии с законодательством Российской Федерации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b/>
      </w:rPr>
    </w:lvl>
    <w:lvl w:ilvl="1">
      <w:start w:val="2"/>
      <w:numFmt w:val="decimal"/>
      <w:lvlText w:val="%1.%2."/>
      <w:lvlJc w:val="left"/>
      <w:pPr>
        <w:tabs>
          <w:tab w:val="num" w:pos="0"/>
        </w:tabs>
        <w:ind w:left="1142" w:hanging="432"/>
      </w:pPr>
      <w:rPr>
        <w:sz w:val="24"/>
        <w:u w:val="none"/>
        <w:b w:val="false"/>
        <w:szCs w:val="24"/>
      </w:rPr>
    </w:lvl>
    <w:lvl w:ilvl="2">
      <w:start w:val="1"/>
      <w:numFmt w:val="decimal"/>
      <w:lvlText w:val="%1.%2.%3."/>
      <w:lvlJc w:val="left"/>
      <w:pPr>
        <w:tabs>
          <w:tab w:val="num" w:pos="0"/>
        </w:tabs>
        <w:ind w:left="1639" w:hanging="504"/>
      </w:pPr>
      <w:rPr>
        <w:sz w:val="24"/>
        <w:b w:val="false"/>
        <w:szCs w:val="24"/>
        <w:highlight w:val="white"/>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7">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574" w:hanging="432"/>
      </w:pPr>
      <w:rPr>
        <w:rFonts w:ascii="Symbol" w:hAnsi="Symbol" w:cs="Symbol" w:hint="default"/>
        <w:u w:val="none"/>
        <w:b w:val="false"/>
        <w:color w:val="auto"/>
      </w:rPr>
    </w:lvl>
    <w:lvl w:ilvl="2">
      <w:start w:val="1"/>
      <w:numFmt w:val="bullet"/>
      <w:lvlText w:val=""/>
      <w:lvlJc w:val="left"/>
      <w:pPr>
        <w:tabs>
          <w:tab w:val="num" w:pos="0"/>
        </w:tabs>
        <w:ind w:left="6317" w:hanging="504"/>
      </w:pPr>
      <w:rPr>
        <w:rFonts w:ascii="Symbol" w:hAnsi="Symbol" w:cs="Symbol" w:hint="default"/>
        <w:sz w:val="24"/>
        <w:u w:val="none"/>
        <w:b w:val="false"/>
        <w:szCs w:val="24"/>
        <w:color w:val="auto"/>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000" w:hanging="432"/>
      </w:pPr>
      <w:rPr>
        <w:u w:val="none"/>
        <w:b w:val="false"/>
      </w:rPr>
    </w:lvl>
    <w:lvl w:ilvl="2">
      <w:start w:val="1"/>
      <w:numFmt w:val="decimal"/>
      <w:lvlText w:val="%1.%2.%3."/>
      <w:lvlJc w:val="left"/>
      <w:pPr>
        <w:tabs>
          <w:tab w:val="num" w:pos="0"/>
        </w:tabs>
        <w:ind w:left="149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lvl w:ilvl="0">
      <w:start w:val="1"/>
      <w:numFmt w:val="decimal"/>
      <w:lvlText w:val="%1"/>
      <w:lvlJc w:val="left"/>
      <w:pPr>
        <w:tabs>
          <w:tab w:val="num" w:pos="0"/>
        </w:tabs>
        <w:ind w:left="480" w:hanging="480"/>
      </w:pPr>
      <w:rPr/>
    </w:lvl>
    <w:lvl w:ilvl="1">
      <w:start w:val="3"/>
      <w:numFmt w:val="decimal"/>
      <w:lvlText w:val="%1.%2"/>
      <w:lvlJc w:val="left"/>
      <w:pPr>
        <w:tabs>
          <w:tab w:val="num" w:pos="0"/>
        </w:tabs>
        <w:ind w:left="834" w:hanging="480"/>
      </w:pPr>
      <w:rPr/>
    </w:lvl>
    <w:lvl w:ilvl="2">
      <w:start w:val="2"/>
      <w:numFmt w:val="decimal"/>
      <w:lvlText w:val="%1.%2.%3"/>
      <w:lvlJc w:val="left"/>
      <w:pPr>
        <w:tabs>
          <w:tab w:val="num" w:pos="0"/>
        </w:tabs>
        <w:ind w:left="1428" w:hanging="720"/>
      </w:pPr>
      <w:rPr/>
    </w:lvl>
    <w:lvl w:ilvl="3">
      <w:start w:val="1"/>
      <w:numFmt w:val="decimal"/>
      <w:lvlText w:val="%1.%2.%3.%4"/>
      <w:lvlJc w:val="left"/>
      <w:pPr>
        <w:tabs>
          <w:tab w:val="num" w:pos="0"/>
        </w:tabs>
        <w:ind w:left="1782" w:hanging="720"/>
      </w:pPr>
      <w:rPr/>
    </w:lvl>
    <w:lvl w:ilvl="4">
      <w:start w:val="1"/>
      <w:numFmt w:val="decimal"/>
      <w:lvlText w:val="%1.%2.%3.%4.%5"/>
      <w:lvlJc w:val="left"/>
      <w:pPr>
        <w:tabs>
          <w:tab w:val="num" w:pos="0"/>
        </w:tabs>
        <w:ind w:left="2496" w:hanging="1080"/>
      </w:pPr>
      <w:rPr/>
    </w:lvl>
    <w:lvl w:ilvl="5">
      <w:start w:val="1"/>
      <w:numFmt w:val="decimal"/>
      <w:lvlText w:val="%1.%2.%3.%4.%5.%6"/>
      <w:lvlJc w:val="left"/>
      <w:pPr>
        <w:tabs>
          <w:tab w:val="num" w:pos="0"/>
        </w:tabs>
        <w:ind w:left="2850" w:hanging="1080"/>
      </w:pPr>
      <w:rPr/>
    </w:lvl>
    <w:lvl w:ilvl="6">
      <w:start w:val="1"/>
      <w:numFmt w:val="decimal"/>
      <w:lvlText w:val="%1.%2.%3.%4.%5.%6.%7"/>
      <w:lvlJc w:val="left"/>
      <w:pPr>
        <w:tabs>
          <w:tab w:val="num" w:pos="0"/>
        </w:tabs>
        <w:ind w:left="3564" w:hanging="1440"/>
      </w:pPr>
      <w:rPr/>
    </w:lvl>
    <w:lvl w:ilvl="7">
      <w:start w:val="1"/>
      <w:numFmt w:val="decimal"/>
      <w:lvlText w:val="%1.%2.%3.%4.%5.%6.%7.%8"/>
      <w:lvlJc w:val="left"/>
      <w:pPr>
        <w:tabs>
          <w:tab w:val="num" w:pos="0"/>
        </w:tabs>
        <w:ind w:left="3918" w:hanging="1440"/>
      </w:pPr>
      <w:rPr/>
    </w:lvl>
    <w:lvl w:ilvl="8">
      <w:start w:val="1"/>
      <w:numFmt w:val="decimal"/>
      <w:lvlText w:val="%1.%2.%3.%4.%5.%6.%7.%8.%9"/>
      <w:lvlJc w:val="left"/>
      <w:pPr>
        <w:tabs>
          <w:tab w:val="num" w:pos="0"/>
        </w:tabs>
        <w:ind w:left="4632" w:hanging="1800"/>
      </w:pPr>
      <w:rPr/>
    </w:lvl>
  </w:abstractNum>
  <w:abstractNum w:abstractNumId="24">
    <w:lvl w:ilvl="0">
      <w:start w:val="7"/>
      <w:numFmt w:val="decimal"/>
      <w:lvlText w:val="%1"/>
      <w:lvlJc w:val="left"/>
      <w:pPr>
        <w:tabs>
          <w:tab w:val="num" w:pos="0"/>
        </w:tabs>
        <w:ind w:left="420" w:hanging="420"/>
      </w:pPr>
      <w:rPr>
        <w:sz w:val="24"/>
      </w:rPr>
    </w:lvl>
    <w:lvl w:ilvl="1">
      <w:start w:val="13"/>
      <w:numFmt w:val="decimal"/>
      <w:lvlText w:val="%1.%2"/>
      <w:lvlJc w:val="left"/>
      <w:pPr>
        <w:tabs>
          <w:tab w:val="num" w:pos="0"/>
        </w:tabs>
        <w:ind w:left="1129" w:hanging="420"/>
      </w:pPr>
      <w:rPr>
        <w:sz w:val="24"/>
      </w:rPr>
    </w:lvl>
    <w:lvl w:ilvl="2">
      <w:start w:val="1"/>
      <w:numFmt w:val="decimal"/>
      <w:lvlText w:val="%1.%2.%3"/>
      <w:lvlJc w:val="left"/>
      <w:pPr>
        <w:tabs>
          <w:tab w:val="num" w:pos="0"/>
        </w:tabs>
        <w:ind w:left="2138" w:hanging="720"/>
      </w:pPr>
      <w:rPr>
        <w:sz w:val="24"/>
      </w:rPr>
    </w:lvl>
    <w:lvl w:ilvl="3">
      <w:start w:val="1"/>
      <w:numFmt w:val="decimal"/>
      <w:lvlText w:val="%1.%2.%3.%4"/>
      <w:lvlJc w:val="left"/>
      <w:pPr>
        <w:tabs>
          <w:tab w:val="num" w:pos="0"/>
        </w:tabs>
        <w:ind w:left="3207" w:hanging="1080"/>
      </w:pPr>
      <w:rPr>
        <w:sz w:val="24"/>
      </w:rPr>
    </w:lvl>
    <w:lvl w:ilvl="4">
      <w:start w:val="1"/>
      <w:numFmt w:val="decimal"/>
      <w:lvlText w:val="%1.%2.%3.%4.%5"/>
      <w:lvlJc w:val="left"/>
      <w:pPr>
        <w:tabs>
          <w:tab w:val="num" w:pos="0"/>
        </w:tabs>
        <w:ind w:left="3916" w:hanging="1080"/>
      </w:pPr>
      <w:rPr>
        <w:sz w:val="24"/>
      </w:rPr>
    </w:lvl>
    <w:lvl w:ilvl="5">
      <w:start w:val="1"/>
      <w:numFmt w:val="decimal"/>
      <w:lvlText w:val="%1.%2.%3.%4.%5.%6"/>
      <w:lvlJc w:val="left"/>
      <w:pPr>
        <w:tabs>
          <w:tab w:val="num" w:pos="0"/>
        </w:tabs>
        <w:ind w:left="4985" w:hanging="1440"/>
      </w:pPr>
      <w:rPr>
        <w:sz w:val="24"/>
      </w:rPr>
    </w:lvl>
    <w:lvl w:ilvl="6">
      <w:start w:val="1"/>
      <w:numFmt w:val="decimal"/>
      <w:lvlText w:val="%1.%2.%3.%4.%5.%6.%7"/>
      <w:lvlJc w:val="left"/>
      <w:pPr>
        <w:tabs>
          <w:tab w:val="num" w:pos="0"/>
        </w:tabs>
        <w:ind w:left="5694" w:hanging="1440"/>
      </w:pPr>
      <w:rPr>
        <w:sz w:val="24"/>
      </w:rPr>
    </w:lvl>
    <w:lvl w:ilvl="7">
      <w:start w:val="1"/>
      <w:numFmt w:val="decimal"/>
      <w:lvlText w:val="%1.%2.%3.%4.%5.%6.%7.%8"/>
      <w:lvlJc w:val="left"/>
      <w:pPr>
        <w:tabs>
          <w:tab w:val="num" w:pos="0"/>
        </w:tabs>
        <w:ind w:left="6763" w:hanging="1800"/>
      </w:pPr>
      <w:rPr>
        <w:sz w:val="24"/>
      </w:rPr>
    </w:lvl>
    <w:lvl w:ilvl="8">
      <w:start w:val="1"/>
      <w:numFmt w:val="decimal"/>
      <w:lvlText w:val="%1.%2.%3.%4.%5.%6.%7.%8.%9"/>
      <w:lvlJc w:val="left"/>
      <w:pPr>
        <w:tabs>
          <w:tab w:val="num" w:pos="0"/>
        </w:tabs>
        <w:ind w:left="7832" w:hanging="2160"/>
      </w:pPr>
      <w:rPr>
        <w:sz w:val="24"/>
      </w:rPr>
    </w:lvl>
  </w:abstractNum>
  <w:abstractNum w:abstractNumId="2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ahoma" w:cs="Lohit Devanagari"/>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Tahoma" w:cs="Lohit Devanagari"/>
      <w:color w:val="auto"/>
      <w:kern w:val="0"/>
      <w:sz w:val="28"/>
      <w:szCs w:val="28"/>
      <w:lang w:val="ru-RU" w:eastAsia="ru-RU" w:bidi="ar-SA"/>
    </w:rPr>
  </w:style>
  <w:style w:type="paragraph" w:styleId="Heading1">
    <w:name w:val="Heading 1"/>
    <w:basedOn w:val="Normal"/>
    <w:next w:val="Normal"/>
    <w:link w:val="11"/>
    <w:qFormat/>
    <w:pPr>
      <w:keepNext w:val="true"/>
      <w:spacing w:before="240" w:after="60"/>
      <w:outlineLvl w:val="0"/>
    </w:pPr>
    <w:rPr>
      <w:rFonts w:ascii="Cambria" w:hAnsi="Cambria"/>
      <w:b/>
      <w:bCs/>
      <w:sz w:val="32"/>
      <w:szCs w:val="32"/>
    </w:rPr>
  </w:style>
  <w:style w:type="paragraph" w:styleId="Heading2">
    <w:name w:val="Heading 2"/>
    <w:basedOn w:val="Normal"/>
    <w:next w:val="Normal"/>
    <w:link w:val="21"/>
    <w:qFormat/>
    <w:pPr>
      <w:keepNext w:val="true"/>
      <w:spacing w:before="240" w:after="60"/>
      <w:outlineLvl w:val="1"/>
    </w:pPr>
    <w:rPr>
      <w:rFonts w:ascii="Cambria" w:hAnsi="Cambria"/>
      <w:b/>
      <w:bCs/>
      <w:i/>
      <w:iCs/>
    </w:rPr>
  </w:style>
  <w:style w:type="paragraph" w:styleId="Heading3">
    <w:name w:val="Heading 3"/>
    <w:basedOn w:val="Normal"/>
    <w:next w:val="Normal"/>
    <w:link w:val="3"/>
    <w:uiPriority w:val="9"/>
    <w:qFormat/>
    <w:pPr>
      <w:keepNext w:val="true"/>
      <w:spacing w:lineRule="auto" w:line="240" w:before="120" w:after="120"/>
      <w:ind w:hanging="0"/>
      <w:jc w:val="left"/>
      <w:outlineLvl w:val="2"/>
    </w:pPr>
    <w:rPr>
      <w:b/>
      <w:szCs w:val="20"/>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HeaderChar">
    <w:name w:val="Header Char"/>
    <w:basedOn w:val="DefaultParagraphFont"/>
    <w:uiPriority w:val="99"/>
    <w:qFormat/>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5" w:customStyle="1">
    <w:name w:val="Подзаголовок Знак"/>
    <w:basedOn w:val="DefaultParagraphFont"/>
    <w:uiPriority w:val="11"/>
    <w:qFormat/>
    <w:rPr>
      <w:sz w:val="24"/>
      <w:szCs w:val="24"/>
    </w:rPr>
  </w:style>
  <w:style w:type="character" w:styleId="2" w:customStyle="1">
    <w:name w:val="Цитата 2 Знак"/>
    <w:link w:val="Quote"/>
    <w:uiPriority w:val="29"/>
    <w:qFormat/>
    <w:rPr>
      <w:i/>
    </w:rPr>
  </w:style>
  <w:style w:type="character" w:styleId="Style6" w:customStyle="1">
    <w:name w:val="Выделенная цитата Знак"/>
    <w:link w:val="IntenseQuote"/>
    <w:uiPriority w:val="30"/>
    <w:qFormat/>
    <w:rPr>
      <w:i/>
    </w:rPr>
  </w:style>
  <w:style w:type="character" w:styleId="Style7" w:customStyle="1">
    <w:name w:val="Верхний колонтитул Знак"/>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Style8">
    <w:name w:val="Символ сноски"/>
    <w:uiPriority w:val="99"/>
    <w:qFormat/>
    <w:rPr>
      <w:vertAlign w:val="superscript"/>
    </w:rPr>
  </w:style>
  <w:style w:type="character" w:styleId="FootnoteReference">
    <w:name w:val="Footnote Reference"/>
    <w:rPr>
      <w:vertAlign w:val="superscript"/>
    </w:rPr>
  </w:style>
  <w:style w:type="character" w:styleId="3" w:customStyle="1">
    <w:name w:val="Заголовок 3 Знак"/>
    <w:qFormat/>
    <w:rPr>
      <w:b/>
      <w:sz w:val="28"/>
    </w:rPr>
  </w:style>
  <w:style w:type="character" w:styleId="31" w:customStyle="1">
    <w:name w:val="3. Подпункт Знак"/>
    <w:link w:val="33"/>
    <w:qFormat/>
    <w:rPr>
      <w:b/>
      <w:bCs/>
      <w:sz w:val="24"/>
      <w:szCs w:val="24"/>
    </w:rPr>
  </w:style>
  <w:style w:type="character" w:styleId="Style9" w:customStyle="1">
    <w:name w:val="Текст выноски Знак"/>
    <w:link w:val="BalloonText"/>
    <w:qFormat/>
    <w:rPr>
      <w:rFonts w:ascii="Tahoma" w:hAnsi="Tahoma" w:cs="Tahoma"/>
      <w:sz w:val="16"/>
      <w:szCs w:val="16"/>
    </w:rPr>
  </w:style>
  <w:style w:type="character" w:styleId="1" w:customStyle="1">
    <w:name w:val="1. Статья Знак"/>
    <w:link w:val="13"/>
    <w:qFormat/>
    <w:rPr>
      <w:sz w:val="24"/>
      <w:szCs w:val="24"/>
    </w:rPr>
  </w:style>
  <w:style w:type="character" w:styleId="41" w:customStyle="1">
    <w:name w:val="4. Отчерк Знак"/>
    <w:link w:val="42"/>
    <w:qFormat/>
    <w:rPr>
      <w:sz w:val="24"/>
      <w:szCs w:val="24"/>
    </w:rPr>
  </w:style>
  <w:style w:type="character" w:styleId="Annotationreference">
    <w:name w:val="annotation reference"/>
    <w:qFormat/>
    <w:rPr>
      <w:sz w:val="16"/>
      <w:szCs w:val="16"/>
    </w:rPr>
  </w:style>
  <w:style w:type="character" w:styleId="Style10" w:customStyle="1">
    <w:name w:val="Текст примечания Знак"/>
    <w:link w:val="Annotationtext"/>
    <w:qFormat/>
    <w:rPr/>
  </w:style>
  <w:style w:type="character" w:styleId="Style11" w:customStyle="1">
    <w:name w:val="Тема примечания Знак"/>
    <w:link w:val="Annotationsubject"/>
    <w:qFormat/>
    <w:rPr>
      <w:b/>
      <w:bCs/>
    </w:rPr>
  </w:style>
  <w:style w:type="character" w:styleId="Style12" w:customStyle="1">
    <w:name w:val="Нижний колонтитул Знак"/>
    <w:uiPriority w:val="99"/>
    <w:qFormat/>
    <w:rPr>
      <w:sz w:val="28"/>
      <w:szCs w:val="28"/>
    </w:rPr>
  </w:style>
  <w:style w:type="character" w:styleId="32" w:customStyle="1">
    <w:name w:val="Основной текст 3 Знак"/>
    <w:link w:val="BodyText3"/>
    <w:qFormat/>
    <w:rPr>
      <w:color w:val="0000FF"/>
      <w:sz w:val="24"/>
      <w:szCs w:val="24"/>
      <w:lang w:eastAsia="en-US"/>
    </w:rPr>
  </w:style>
  <w:style w:type="character" w:styleId="Style13" w:customStyle="1">
    <w:name w:val="Название Знак"/>
    <w:qFormat/>
    <w:rPr>
      <w:b/>
      <w:sz w:val="22"/>
      <w:szCs w:val="22"/>
      <w:shd w:fill="FFFFFF" w:val="clear"/>
    </w:rPr>
  </w:style>
  <w:style w:type="character" w:styleId="11" w:customStyle="1">
    <w:name w:val="Заголовок 1 Знак"/>
    <w:qFormat/>
    <w:rPr>
      <w:rFonts w:ascii="Cambria" w:hAnsi="Cambria" w:eastAsia="Times New Roman" w:cs="Times New Roman"/>
      <w:b/>
      <w:bCs/>
      <w:sz w:val="32"/>
      <w:szCs w:val="32"/>
    </w:rPr>
  </w:style>
  <w:style w:type="character" w:styleId="21" w:customStyle="1">
    <w:name w:val="Заголовок 2 Знак"/>
    <w:semiHidden/>
    <w:qFormat/>
    <w:rPr>
      <w:rFonts w:ascii="Cambria" w:hAnsi="Cambria" w:eastAsia="Times New Roman" w:cs="Times New Roman"/>
      <w:b/>
      <w:bCs/>
      <w:i/>
      <w:iCs/>
      <w:sz w:val="28"/>
      <w:szCs w:val="28"/>
    </w:rPr>
  </w:style>
  <w:style w:type="character" w:styleId="Style14"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15" w:customStyle="1">
    <w:name w:val="Текст сноски Знак"/>
    <w:uiPriority w:val="99"/>
    <w:qFormat/>
    <w:rPr/>
  </w:style>
  <w:style w:type="character" w:styleId="Hyperlink">
    <w:name w:val="Hyperlink"/>
    <w:uiPriority w:val="99"/>
    <w:unhideWhenUsed/>
    <w:rPr>
      <w:color w:val="0000FF"/>
      <w:u w:val="single"/>
    </w:rPr>
  </w:style>
  <w:style w:type="character" w:styleId="Style16" w:customStyle="1">
    <w:name w:val="Текст концевой сноски Знак"/>
    <w:uiPriority w:val="99"/>
    <w:semiHidden/>
    <w:qFormat/>
    <w:rPr/>
  </w:style>
  <w:style w:type="character" w:styleId="Style17">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22" w:customStyle="1">
    <w:name w:val="Основной текст (2)_"/>
    <w:basedOn w:val="DefaultParagraphFont"/>
    <w:link w:val="25"/>
    <w:qFormat/>
    <w:rPr>
      <w:rFonts w:ascii="MS Reference Sans Serif" w:hAnsi="MS Reference Sans Serif" w:eastAsia="MS Reference Sans Serif" w:cs="MS Reference Sans Serif"/>
      <w:sz w:val="19"/>
      <w:szCs w:val="19"/>
      <w:shd w:fill="FFFFFF" w:val="clear"/>
    </w:rPr>
  </w:style>
  <w:style w:type="character" w:styleId="210pt" w:customStyle="1">
    <w:name w:val="Основной текст (2) + 10 pt;Курсив"/>
    <w:basedOn w:val="22"/>
    <w:qFormat/>
    <w:rPr>
      <w:rFonts w:ascii="MS Reference Sans Serif" w:hAnsi="MS Reference Sans Serif" w:eastAsia="MS Reference Sans Serif" w:cs="MS Reference Sans Serif"/>
      <w:i/>
      <w:iCs/>
      <w:color w:val="000000"/>
      <w:spacing w:val="0"/>
      <w:sz w:val="20"/>
      <w:szCs w:val="20"/>
      <w:shd w:fill="FFFFFF" w:val="clear"/>
      <w:lang w:val="ru-RU" w:eastAsia="ru-RU" w:bidi="ru-RU"/>
    </w:rPr>
  </w:style>
  <w:style w:type="character" w:styleId="Style18" w:customStyle="1">
    <w:name w:val="Колонтитул_"/>
    <w:basedOn w:val="DefaultParagraphFont"/>
    <w:link w:val="15"/>
    <w:qFormat/>
    <w:rPr>
      <w:rFonts w:ascii="Segoe UI" w:hAnsi="Segoe UI" w:eastAsia="Segoe UI" w:cs="Segoe UI"/>
      <w:sz w:val="21"/>
      <w:szCs w:val="21"/>
      <w:shd w:fill="FFFFFF" w:val="clear"/>
    </w:rPr>
  </w:style>
  <w:style w:type="character" w:styleId="210pt37pt" w:customStyle="1">
    <w:name w:val="Основной текст (2) + 10 pt;Курсив;Интервал 37 pt"/>
    <w:basedOn w:val="22"/>
    <w:qFormat/>
    <w:rPr>
      <w:rFonts w:ascii="MS Reference Sans Serif" w:hAnsi="MS Reference Sans Serif" w:eastAsia="MS Reference Sans Serif" w:cs="MS Reference Sans Serif"/>
      <w:b w:val="false"/>
      <w:bCs w:val="false"/>
      <w:i/>
      <w:iCs/>
      <w:caps w:val="false"/>
      <w:smallCaps w:val="false"/>
      <w:strike w:val="false"/>
      <w:dstrike w:val="false"/>
      <w:color w:val="000000"/>
      <w:spacing w:val="750"/>
      <w:sz w:val="20"/>
      <w:szCs w:val="20"/>
      <w:u w:val="none"/>
      <w:shd w:fill="FFFFFF" w:val="clear"/>
      <w:lang w:val="en-US" w:eastAsia="en-US" w:bidi="en-US"/>
    </w:rPr>
  </w:style>
  <w:style w:type="character" w:styleId="MSReferenceSansSerif95pt" w:customStyle="1">
    <w:name w:val="Колонтитул + MS Reference Sans Serif;9;5 pt"/>
    <w:basedOn w:val="Style18"/>
    <w:qFormat/>
    <w:rPr>
      <w:rFonts w:ascii="MS Reference Sans Serif" w:hAnsi="MS Reference Sans Serif" w:eastAsia="MS Reference Sans Serif" w:cs="MS Reference Sans Serif"/>
      <w:color w:val="000000"/>
      <w:spacing w:val="0"/>
      <w:sz w:val="19"/>
      <w:szCs w:val="19"/>
      <w:shd w:fill="FFFFFF" w:val="clear"/>
      <w:lang w:val="ru-RU" w:eastAsia="ru-RU" w:bidi="ru-RU"/>
    </w:rPr>
  </w:style>
  <w:style w:type="character" w:styleId="210pt1" w:customStyle="1">
    <w:name w:val="Основной текст (2) + 10 pt;Курсив1"/>
    <w:basedOn w:val="22"/>
    <w:qFormat/>
    <w:rPr>
      <w:rFonts w:ascii="MS Reference Sans Serif" w:hAnsi="MS Reference Sans Serif" w:eastAsia="MS Reference Sans Serif" w:cs="MS Reference Sans Serif"/>
      <w:b w:val="false"/>
      <w:bCs w:val="false"/>
      <w:i/>
      <w:iCs/>
      <w:caps w:val="false"/>
      <w:smallCaps w:val="false"/>
      <w:strike w:val="false"/>
      <w:dstrike w:val="false"/>
      <w:color w:val="000000"/>
      <w:spacing w:val="0"/>
      <w:sz w:val="20"/>
      <w:szCs w:val="20"/>
      <w:u w:val="none"/>
      <w:shd w:fill="FFFFFF" w:val="clear"/>
      <w:lang w:val="ru-RU" w:eastAsia="ru-RU" w:bidi="ru-RU"/>
    </w:rPr>
  </w:style>
  <w:style w:type="character" w:styleId="Style19" w:customStyle="1">
    <w:name w:val="Подпись к картинке_"/>
    <w:basedOn w:val="DefaultParagraphFont"/>
    <w:link w:val="Style29"/>
    <w:qFormat/>
    <w:rPr>
      <w:rFonts w:ascii="MS Reference Sans Serif" w:hAnsi="MS Reference Sans Serif" w:eastAsia="MS Reference Sans Serif" w:cs="MS Reference Sans Serif"/>
      <w:sz w:val="19"/>
      <w:szCs w:val="19"/>
      <w:shd w:fill="FFFFFF" w:val="clear"/>
    </w:rPr>
  </w:style>
  <w:style w:type="character" w:styleId="Exact" w:customStyle="1">
    <w:name w:val="Подпись к картинке Exact"/>
    <w:basedOn w:val="DefaultParagraphFont"/>
    <w:qFormat/>
    <w:rPr>
      <w:rFonts w:ascii="MS Reference Sans Serif" w:hAnsi="MS Reference Sans Serif" w:eastAsia="MS Reference Sans Serif" w:cs="MS Reference Sans Serif"/>
      <w:b w:val="false"/>
      <w:bCs w:val="false"/>
      <w:i w:val="false"/>
      <w:iCs w:val="false"/>
      <w:caps w:val="false"/>
      <w:smallCaps w:val="false"/>
      <w:strike w:val="false"/>
      <w:dstrike w:val="false"/>
      <w:sz w:val="19"/>
      <w:szCs w:val="19"/>
      <w:u w:val="none"/>
    </w:rPr>
  </w:style>
  <w:style w:type="character" w:styleId="2Exact" w:customStyle="1">
    <w:name w:val="Основной текст (2) Exact"/>
    <w:basedOn w:val="DefaultParagraphFont"/>
    <w:qFormat/>
    <w:rPr>
      <w:rFonts w:ascii="MS Reference Sans Serif" w:hAnsi="MS Reference Sans Serif" w:eastAsia="MS Reference Sans Serif" w:cs="MS Reference Sans Serif"/>
      <w:b w:val="false"/>
      <w:bCs w:val="false"/>
      <w:i w:val="false"/>
      <w:iCs w:val="false"/>
      <w:caps w:val="false"/>
      <w:smallCaps w:val="false"/>
      <w:strike w:val="false"/>
      <w:dstrike w:val="false"/>
      <w:sz w:val="19"/>
      <w:szCs w:val="19"/>
      <w:u w:val="none"/>
    </w:rPr>
  </w:style>
  <w:style w:type="character" w:styleId="51" w:customStyle="1">
    <w:name w:val="Основной текст (5)_"/>
    <w:basedOn w:val="DefaultParagraphFont"/>
    <w:link w:val="52"/>
    <w:qFormat/>
    <w:rPr>
      <w:rFonts w:ascii="MS Reference Sans Serif" w:hAnsi="MS Reference Sans Serif" w:eastAsia="MS Reference Sans Serif" w:cs="MS Reference Sans Serif"/>
      <w:b/>
      <w:bCs/>
      <w:sz w:val="19"/>
      <w:szCs w:val="19"/>
      <w:shd w:fill="FFFFFF" w:val="clear"/>
    </w:rPr>
  </w:style>
  <w:style w:type="character" w:styleId="5Exact" w:customStyle="1">
    <w:name w:val="Основной текст (5) Exact"/>
    <w:basedOn w:val="DefaultParagraphFont"/>
    <w:qFormat/>
    <w:rPr>
      <w:rFonts w:ascii="MS Reference Sans Serif" w:hAnsi="MS Reference Sans Serif" w:eastAsia="MS Reference Sans Serif" w:cs="MS Reference Sans Serif"/>
      <w:b/>
      <w:bCs/>
      <w:i w:val="false"/>
      <w:iCs w:val="false"/>
      <w:caps w:val="false"/>
      <w:smallCaps w:val="false"/>
      <w:strike w:val="false"/>
      <w:dstrike w:val="false"/>
      <w:sz w:val="19"/>
      <w:szCs w:val="19"/>
      <w:u w:val="none"/>
    </w:rPr>
  </w:style>
  <w:style w:type="character" w:styleId="210pt37ptExact" w:customStyle="1">
    <w:name w:val="Основной текст (2) + 10 pt;Курсив;Интервал 37 pt Exact"/>
    <w:basedOn w:val="22"/>
    <w:qFormat/>
    <w:rPr>
      <w:rFonts w:ascii="MS Reference Sans Serif" w:hAnsi="MS Reference Sans Serif" w:eastAsia="MS Reference Sans Serif" w:cs="MS Reference Sans Serif"/>
      <w:b w:val="false"/>
      <w:bCs w:val="false"/>
      <w:i/>
      <w:iCs/>
      <w:caps w:val="false"/>
      <w:smallCaps w:val="false"/>
      <w:strike w:val="false"/>
      <w:dstrike w:val="false"/>
      <w:color w:val="000000"/>
      <w:spacing w:val="750"/>
      <w:sz w:val="20"/>
      <w:szCs w:val="20"/>
      <w:u w:val="none"/>
      <w:shd w:fill="FFFFFF" w:val="clear"/>
      <w:lang w:val="en-US" w:eastAsia="en-US" w:bidi="en-US"/>
    </w:rPr>
  </w:style>
  <w:style w:type="character" w:styleId="210pt2" w:customStyle="1">
    <w:name w:val="Основной текст (2) + 10 pt"/>
    <w:basedOn w:val="DefaultParagraphFont"/>
    <w:qFormat/>
    <w:rPr>
      <w:rFonts w:ascii="MS Reference Sans Serif" w:hAnsi="MS Reference Sans Serif" w:eastAsia="MS Reference Sans Serif" w:cs="MS Reference Sans Serif"/>
      <w:b w:val="false"/>
      <w:bCs w:val="false"/>
      <w:i/>
      <w:iCs/>
      <w:caps w:val="false"/>
      <w:smallCaps w:val="false"/>
      <w:strike w:val="false"/>
      <w:dstrike w:val="false"/>
      <w:color w:val="000000"/>
      <w:spacing w:val="0"/>
      <w:sz w:val="20"/>
      <w:szCs w:val="20"/>
      <w:u w:val="none"/>
      <w:lang w:val="ru-RU" w:eastAsia="ru-RU" w:bidi="ru-RU"/>
    </w:rPr>
  </w:style>
  <w:style w:type="character" w:styleId="Style20" w:customStyle="1">
    <w:name w:val="Абзац списка Знак"/>
    <w:basedOn w:val="DefaultParagraphFont"/>
    <w:link w:val="ListParagraph"/>
    <w:uiPriority w:val="34"/>
    <w:qFormat/>
    <w:rPr>
      <w:sz w:val="24"/>
      <w:szCs w:val="24"/>
    </w:rPr>
  </w:style>
  <w:style w:type="character" w:styleId="12" w:customStyle="1">
    <w:name w:val="Стиль1 Знак"/>
    <w:basedOn w:val="Style20"/>
    <w:link w:val="16"/>
    <w:qFormat/>
    <w:rPr>
      <w:sz w:val="24"/>
      <w:szCs w:val="24"/>
    </w:rPr>
  </w:style>
  <w:style w:type="paragraph" w:styleId="Style21">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before="0" w:after="120"/>
    </w:pPr>
    <w:rPr/>
  </w:style>
  <w:style w:type="paragraph" w:styleId="List">
    <w:name w:val="List"/>
    <w:basedOn w:val="BodyText"/>
    <w:pPr/>
    <w:rPr>
      <w:rFonts w:cs="Lohit Devanagari"/>
    </w:rPr>
  </w:style>
  <w:style w:type="paragraph" w:styleId="Caption">
    <w:name w:val="Caption"/>
    <w:basedOn w:val="Normal"/>
    <w:next w:val="Normal"/>
    <w:link w:val="CaptionChar"/>
    <w:qFormat/>
    <w:pPr>
      <w:widowControl w:val="false"/>
      <w:spacing w:lineRule="auto" w:line="240" w:before="120" w:after="120"/>
      <w:ind w:hanging="0"/>
    </w:pPr>
    <w:rPr>
      <w:b/>
      <w:bCs/>
      <w:sz w:val="24"/>
      <w:szCs w:val="24"/>
    </w:rPr>
  </w:style>
  <w:style w:type="paragraph" w:styleId="Style22">
    <w:name w:val="Указатель"/>
    <w:basedOn w:val="Normal"/>
    <w:qFormat/>
    <w:pPr>
      <w:suppressLineNumbers/>
    </w:pPr>
    <w:rPr>
      <w:rFonts w:cs="Lohit Devanagari"/>
    </w:rPr>
  </w:style>
  <w:style w:type="paragraph" w:styleId="NoSpacing">
    <w:name w:val="No Spacing"/>
    <w:uiPriority w:val="1"/>
    <w:qFormat/>
    <w:pPr>
      <w:widowControl/>
      <w:suppressAutoHyphens w:val="true"/>
      <w:bidi w:val="0"/>
      <w:spacing w:before="0" w:after="0"/>
      <w:jc w:val="left"/>
    </w:pPr>
    <w:rPr>
      <w:rFonts w:ascii="Times New Roman" w:hAnsi="Times New Roman" w:eastAsia="Tahoma" w:cs="Lohit Devanagari"/>
      <w:color w:val="auto"/>
      <w:kern w:val="0"/>
      <w:sz w:val="20"/>
      <w:szCs w:val="20"/>
      <w:lang w:val="ru-RU" w:eastAsia="ru-RU" w:bidi="ar-SA"/>
    </w:rPr>
  </w:style>
  <w:style w:type="paragraph" w:styleId="Subtitle">
    <w:name w:val="Subtitle"/>
    <w:basedOn w:val="Normal"/>
    <w:next w:val="Normal"/>
    <w:link w:val="Style5"/>
    <w:uiPriority w:val="11"/>
    <w:qFormat/>
    <w:pPr>
      <w:spacing w:before="200" w:after="200"/>
    </w:pPr>
    <w:rPr>
      <w:sz w:val="24"/>
      <w:szCs w:val="24"/>
    </w:rPr>
  </w:style>
  <w:style w:type="paragraph" w:styleId="Quote">
    <w:name w:val="Quote"/>
    <w:basedOn w:val="Normal"/>
    <w:next w:val="Normal"/>
    <w:link w:val="2"/>
    <w:uiPriority w:val="29"/>
    <w:qFormat/>
    <w:pPr>
      <w:ind w:left="720" w:right="720"/>
    </w:pPr>
    <w:rPr>
      <w:i/>
    </w:rPr>
  </w:style>
  <w:style w:type="paragraph" w:styleId="IntenseQuote">
    <w:name w:val="Intense Quote"/>
    <w:basedOn w:val="Normal"/>
    <w:next w:val="Normal"/>
    <w:link w:val="Style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TOC1">
    <w:name w:val="TOC 1"/>
    <w:basedOn w:val="Normal"/>
    <w:next w:val="Normal"/>
    <w:uiPriority w:val="39"/>
    <w:unhideWhenUsed/>
    <w:pPr>
      <w:spacing w:before="0" w:after="57"/>
      <w:ind w:hanging="0"/>
    </w:pPr>
    <w:rPr/>
  </w:style>
  <w:style w:type="paragraph" w:styleId="TOC2">
    <w:name w:val="TOC 2"/>
    <w:basedOn w:val="Normal"/>
    <w:next w:val="Normal"/>
    <w:uiPriority w:val="39"/>
    <w:unhideWhenUsed/>
    <w:pPr>
      <w:spacing w:before="0" w:after="57"/>
      <w:ind w:hanging="0" w:left="283"/>
    </w:pPr>
    <w:rPr/>
  </w:style>
  <w:style w:type="paragraph" w:styleId="TOC3">
    <w:name w:val="TOC 3"/>
    <w:basedOn w:val="Normal"/>
    <w:next w:val="Normal"/>
    <w:uiPriority w:val="39"/>
    <w:unhideWhenUsed/>
    <w:pPr>
      <w:spacing w:before="0" w:after="57"/>
      <w:ind w:hanging="0" w:left="567"/>
    </w:pPr>
    <w:rPr/>
  </w:style>
  <w:style w:type="paragraph" w:styleId="TOC4">
    <w:name w:val="TOC 4"/>
    <w:basedOn w:val="Normal"/>
    <w:next w:val="Normal"/>
    <w:uiPriority w:val="39"/>
    <w:unhideWhenUsed/>
    <w:pPr>
      <w:spacing w:before="0" w:after="57"/>
      <w:ind w:hanging="0" w:left="850"/>
    </w:pPr>
    <w:rPr/>
  </w:style>
  <w:style w:type="paragraph" w:styleId="TOC5">
    <w:name w:val="TOC 5"/>
    <w:basedOn w:val="Normal"/>
    <w:next w:val="Normal"/>
    <w:uiPriority w:val="39"/>
    <w:unhideWhenUsed/>
    <w:pPr>
      <w:spacing w:before="0" w:after="57"/>
      <w:ind w:hanging="0" w:left="1134"/>
    </w:pPr>
    <w:rPr/>
  </w:style>
  <w:style w:type="paragraph" w:styleId="TOC6">
    <w:name w:val="TOC 6"/>
    <w:basedOn w:val="Normal"/>
    <w:next w:val="Normal"/>
    <w:uiPriority w:val="39"/>
    <w:unhideWhenUsed/>
    <w:pPr>
      <w:spacing w:before="0" w:after="57"/>
      <w:ind w:hanging="0" w:left="1417"/>
    </w:pPr>
    <w:rPr/>
  </w:style>
  <w:style w:type="paragraph" w:styleId="TOC7">
    <w:name w:val="TOC 7"/>
    <w:basedOn w:val="Normal"/>
    <w:next w:val="Normal"/>
    <w:uiPriority w:val="39"/>
    <w:unhideWhenUsed/>
    <w:pPr>
      <w:spacing w:before="0" w:after="57"/>
      <w:ind w:hanging="0" w:left="1701"/>
    </w:pPr>
    <w:rPr/>
  </w:style>
  <w:style w:type="paragraph" w:styleId="TOC8">
    <w:name w:val="TOC 8"/>
    <w:basedOn w:val="Normal"/>
    <w:next w:val="Normal"/>
    <w:uiPriority w:val="39"/>
    <w:unhideWhenUsed/>
    <w:pPr>
      <w:spacing w:before="0" w:after="57"/>
      <w:ind w:hanging="0" w:left="1984"/>
    </w:pPr>
    <w:rPr/>
  </w:style>
  <w:style w:type="paragraph" w:styleId="TOC9">
    <w:name w:val="TOC 9"/>
    <w:basedOn w:val="Normal"/>
    <w:next w:val="Normal"/>
    <w:uiPriority w:val="39"/>
    <w:unhideWhenUsed/>
    <w:pPr>
      <w:spacing w:before="0" w:after="57"/>
      <w:ind w:hanging="0" w:left="2268"/>
    </w:pPr>
    <w:rPr/>
  </w:style>
  <w:style w:type="paragraph" w:styleId="IndexHeading">
    <w:name w:val="Index Heading"/>
    <w:basedOn w:val="Style21"/>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ahoma" w:cs="Lohit Devanagari"/>
      <w:color w:val="auto"/>
      <w:kern w:val="0"/>
      <w:sz w:val="20"/>
      <w:szCs w:val="20"/>
      <w:lang w:val="ru-RU" w:eastAsia="ru-RU" w:bidi="ar-SA"/>
    </w:rPr>
  </w:style>
  <w:style w:type="paragraph" w:styleId="TableofFigures">
    <w:name w:val="Table of Figures"/>
    <w:basedOn w:val="Normal"/>
    <w:next w:val="Normal"/>
    <w:uiPriority w:val="99"/>
    <w:unhideWhenUsed/>
    <w:pPr/>
    <w:rPr/>
  </w:style>
  <w:style w:type="paragraph" w:styleId="BodyText3">
    <w:name w:val="Body Text 3"/>
    <w:basedOn w:val="Normal"/>
    <w:link w:val="32"/>
    <w:qFormat/>
    <w:pPr>
      <w:spacing w:lineRule="auto" w:line="240"/>
      <w:ind w:hanging="0"/>
    </w:pPr>
    <w:rPr>
      <w:color w:val="0000FF"/>
      <w:sz w:val="24"/>
      <w:szCs w:val="24"/>
      <w:lang w:eastAsia="en-US"/>
    </w:rPr>
  </w:style>
  <w:style w:type="paragraph" w:styleId="Style23">
    <w:name w:val="Колонтитул"/>
    <w:basedOn w:val="Normal"/>
    <w:qFormat/>
    <w:pPr/>
    <w:rPr/>
  </w:style>
  <w:style w:type="paragraph" w:styleId="Header">
    <w:name w:val="Header"/>
    <w:basedOn w:val="Normal"/>
    <w:link w:val="Style7"/>
    <w:pPr>
      <w:tabs>
        <w:tab w:val="clear" w:pos="708"/>
        <w:tab w:val="center" w:pos="4677" w:leader="none"/>
        <w:tab w:val="right" w:pos="9355" w:leader="none"/>
      </w:tabs>
    </w:pPr>
    <w:rPr/>
  </w:style>
  <w:style w:type="paragraph" w:styleId="Style110"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24"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5"/>
    <w:uiPriority w:val="99"/>
    <w:pPr>
      <w:spacing w:lineRule="auto" w:line="240"/>
      <w:ind w:hanging="0"/>
      <w:jc w:val="left"/>
    </w:pPr>
    <w:rPr>
      <w:sz w:val="20"/>
      <w:szCs w:val="20"/>
    </w:rPr>
  </w:style>
  <w:style w:type="paragraph" w:styleId="Style25"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3"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26"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7" w:customStyle="1">
    <w:name w:val="Пункт договора"/>
    <w:basedOn w:val="Normal"/>
    <w:qFormat/>
    <w:pPr>
      <w:widowControl w:val="false"/>
      <w:spacing w:lineRule="auto" w:line="240"/>
      <w:ind w:hanging="0"/>
    </w:pPr>
    <w:rPr>
      <w:rFonts w:ascii="Arial" w:hAnsi="Arial"/>
      <w:sz w:val="20"/>
      <w:szCs w:val="20"/>
    </w:rPr>
  </w:style>
  <w:style w:type="paragraph" w:styleId="Style28" w:customStyle="1">
    <w:name w:val="Подпункт договора"/>
    <w:basedOn w:val="Normal"/>
    <w:qFormat/>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pPr>
    <w:rPr>
      <w:sz w:val="16"/>
      <w:szCs w:val="16"/>
    </w:rPr>
  </w:style>
  <w:style w:type="paragraph" w:styleId="ListParagraph">
    <w:name w:val="List Paragraph"/>
    <w:basedOn w:val="Normal"/>
    <w:link w:val="Style20"/>
    <w:uiPriority w:val="34"/>
    <w:qFormat/>
    <w:pPr>
      <w:spacing w:lineRule="auto" w:line="240" w:before="0" w:after="0"/>
      <w:ind w:hanging="0" w:left="720"/>
      <w:contextualSpacing/>
      <w:jc w:val="left"/>
    </w:pPr>
    <w:rPr>
      <w:sz w:val="24"/>
      <w:szCs w:val="24"/>
    </w:rPr>
  </w:style>
  <w:style w:type="paragraph" w:styleId="13" w:customStyle="1">
    <w:name w:val="1. Статья"/>
    <w:basedOn w:val="Heading3"/>
    <w:link w:val="1"/>
    <w:qFormat/>
    <w:pPr>
      <w:keepNext w:val="false"/>
      <w:widowControl w:val="false"/>
      <w:numPr>
        <w:ilvl w:val="0"/>
        <w:numId w:val="1"/>
      </w:numPr>
      <w:tabs>
        <w:tab w:val="clear" w:pos="708"/>
        <w:tab w:val="left" w:pos="2340" w:leader="none"/>
      </w:tabs>
      <w:spacing w:before="0" w:after="0"/>
      <w:ind w:right="1462"/>
      <w:jc w:val="center"/>
    </w:pPr>
    <w:rPr>
      <w:b w:val="false"/>
      <w:sz w:val="24"/>
      <w:szCs w:val="24"/>
    </w:rPr>
  </w:style>
  <w:style w:type="paragraph" w:styleId="24"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3" w:customStyle="1">
    <w:name w:val="3. Подпункт"/>
    <w:basedOn w:val="Heading3"/>
    <w:link w:val="31"/>
    <w:qFormat/>
    <w:pPr>
      <w:keepNext w:val="false"/>
      <w:widowControl w:val="false"/>
      <w:numPr>
        <w:ilvl w:val="2"/>
        <w:numId w:val="1"/>
      </w:numPr>
      <w:tabs>
        <w:tab w:val="clear" w:pos="708"/>
        <w:tab w:val="left" w:pos="1620" w:leader="none"/>
      </w:tabs>
      <w:spacing w:before="0" w:after="0"/>
      <w:jc w:val="both"/>
    </w:pPr>
    <w:rPr>
      <w:bCs/>
      <w:sz w:val="24"/>
      <w:szCs w:val="24"/>
    </w:rPr>
  </w:style>
  <w:style w:type="paragraph" w:styleId="ConsNormal" w:customStyle="1">
    <w:name w:val="ConsNormal"/>
    <w:qFormat/>
    <w:pPr>
      <w:widowControl/>
      <w:suppressAutoHyphens w:val="true"/>
      <w:bidi w:val="0"/>
      <w:spacing w:before="0" w:after="0"/>
      <w:ind w:firstLine="720" w:right="19772"/>
      <w:jc w:val="left"/>
    </w:pPr>
    <w:rPr>
      <w:rFonts w:ascii="Arial" w:hAnsi="Arial" w:eastAsia="Tahoma" w:cs="Lohit Devanagari"/>
      <w:color w:val="auto"/>
      <w:kern w:val="0"/>
      <w:sz w:val="32"/>
      <w:szCs w:val="20"/>
      <w:lang w:val="ru-RU" w:eastAsia="en-US" w:bidi="ar-SA"/>
    </w:rPr>
  </w:style>
  <w:style w:type="paragraph" w:styleId="BalloonText">
    <w:name w:val="Balloon Text"/>
    <w:basedOn w:val="Normal"/>
    <w:link w:val="Style9"/>
    <w:qFormat/>
    <w:pPr>
      <w:spacing w:lineRule="auto" w:line="240"/>
    </w:pPr>
    <w:rPr>
      <w:rFonts w:ascii="Tahoma" w:hAnsi="Tahoma"/>
      <w:sz w:val="16"/>
      <w:szCs w:val="16"/>
    </w:rPr>
  </w:style>
  <w:style w:type="paragraph" w:styleId="42" w:customStyle="1">
    <w:name w:val="4. Отчерк"/>
    <w:basedOn w:val="Normal"/>
    <w:link w:val="41"/>
    <w:qFormat/>
    <w:pPr>
      <w:widowControl w:val="false"/>
      <w:numPr>
        <w:ilvl w:val="0"/>
        <w:numId w:val="2"/>
      </w:numPr>
      <w:spacing w:lineRule="auto" w:line="240"/>
    </w:pPr>
    <w:rPr>
      <w:sz w:val="24"/>
      <w:szCs w:val="24"/>
    </w:rPr>
  </w:style>
  <w:style w:type="paragraph" w:styleId="Annotationtext">
    <w:name w:val="annotation text"/>
    <w:basedOn w:val="Normal"/>
    <w:link w:val="Style10"/>
    <w:qFormat/>
    <w:pPr>
      <w:spacing w:lineRule="auto" w:line="240"/>
    </w:pPr>
    <w:rPr>
      <w:sz w:val="20"/>
      <w:szCs w:val="20"/>
    </w:rPr>
  </w:style>
  <w:style w:type="paragraph" w:styleId="Annotationsubject">
    <w:name w:val="annotation subject"/>
    <w:basedOn w:val="Annotationtext"/>
    <w:next w:val="Annotationtext"/>
    <w:link w:val="Style11"/>
    <w:qFormat/>
    <w:pPr/>
    <w:rPr>
      <w:b/>
      <w:bCs/>
    </w:rPr>
  </w:style>
  <w:style w:type="paragraph" w:styleId="Footer">
    <w:name w:val="Footer"/>
    <w:basedOn w:val="Normal"/>
    <w:link w:val="Style12"/>
    <w:uiPriority w:val="99"/>
    <w:pPr>
      <w:tabs>
        <w:tab w:val="clear" w:pos="708"/>
        <w:tab w:val="center" w:pos="4677" w:leader="none"/>
        <w:tab w:val="right" w:pos="9355" w:leader="none"/>
      </w:tabs>
      <w:spacing w:lineRule="auto" w:line="240"/>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Tahoma" w:cs="Lohit Devanagari"/>
      <w:color w:val="auto"/>
      <w:kern w:val="0"/>
      <w:sz w:val="28"/>
      <w:szCs w:val="28"/>
      <w:lang w:val="ru-RU" w:eastAsia="ru-RU" w:bidi="ar-SA"/>
    </w:rPr>
  </w:style>
  <w:style w:type="paragraph" w:styleId="Title" w:customStyle="1">
    <w:name w:val="Title"/>
    <w:basedOn w:val="Normal"/>
    <w:link w:val="Style13"/>
    <w:qFormat/>
    <w:pPr>
      <w:widowControl w:val="false"/>
      <w:spacing w:lineRule="auto" w:line="240" w:before="0" w:after="120"/>
      <w:ind w:hanging="0"/>
      <w:jc w:val="center"/>
    </w:pPr>
    <w:rPr>
      <w:b/>
      <w:bCs/>
      <w:sz w:val="32"/>
      <w:szCs w:val="20"/>
    </w:rPr>
  </w:style>
  <w:style w:type="paragraph" w:styleId="BodyTextIndent">
    <w:name w:val="Body Text Indent"/>
    <w:basedOn w:val="Normal"/>
    <w:link w:val="Style14"/>
    <w:pPr>
      <w:spacing w:before="0" w:after="120"/>
      <w:ind w:left="283"/>
    </w:pPr>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hanging="504" w:left="704"/>
      <w:jc w:val="left"/>
      <w:outlineLvl w:val="1"/>
    </w:pPr>
    <w:rPr>
      <w:sz w:val="24"/>
      <w:szCs w:val="20"/>
    </w:rPr>
  </w:style>
  <w:style w:type="paragraph" w:styleId="14"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numPr>
        <w:ilvl w:val="0"/>
        <w:numId w:val="4"/>
      </w:numPr>
      <w:tabs>
        <w:tab w:val="clear" w:pos="708"/>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numPr>
        <w:ilvl w:val="1"/>
        <w:numId w:val="4"/>
      </w:numPr>
    </w:pPr>
    <w:rPr/>
  </w:style>
  <w:style w:type="paragraph" w:styleId="-2" w:customStyle="1">
    <w:name w:val="Контракт-подпункт"/>
    <w:basedOn w:val="Normal"/>
    <w:qFormat/>
    <w:pPr>
      <w:numPr>
        <w:ilvl w:val="2"/>
        <w:numId w:val="4"/>
      </w:numPr>
    </w:pPr>
    <w:rPr/>
  </w:style>
  <w:style w:type="paragraph" w:styleId="-3" w:customStyle="1">
    <w:name w:val="Контракт-подподпункт"/>
    <w:basedOn w:val="Normal"/>
    <w:qFormat/>
    <w:pPr>
      <w:numPr>
        <w:ilvl w:val="3"/>
        <w:numId w:val="4"/>
      </w:numPr>
    </w:pPr>
    <w:rPr/>
  </w:style>
  <w:style w:type="paragraph" w:styleId="EndnoteText">
    <w:name w:val="Endnote Text"/>
    <w:basedOn w:val="Normal"/>
    <w:link w:val="Style16"/>
    <w:uiPriority w:val="99"/>
    <w:semiHidden/>
    <w:unhideWhenUsed/>
    <w:pPr/>
    <w:rPr>
      <w:sz w:val="20"/>
      <w:szCs w:val="20"/>
    </w:rPr>
  </w:style>
  <w:style w:type="paragraph" w:styleId="25" w:customStyle="1">
    <w:name w:val="Основной текст (2)"/>
    <w:basedOn w:val="Normal"/>
    <w:link w:val="22"/>
    <w:qFormat/>
    <w:pPr>
      <w:widowControl w:val="false"/>
      <w:shd w:val="clear" w:color="auto" w:fill="FFFFFF"/>
      <w:spacing w:lineRule="exact" w:line="230"/>
      <w:ind w:hanging="880"/>
      <w:jc w:val="left"/>
    </w:pPr>
    <w:rPr>
      <w:rFonts w:ascii="MS Reference Sans Serif" w:hAnsi="MS Reference Sans Serif" w:eastAsia="MS Reference Sans Serif" w:cs="MS Reference Sans Serif"/>
      <w:sz w:val="19"/>
      <w:szCs w:val="19"/>
    </w:rPr>
  </w:style>
  <w:style w:type="paragraph" w:styleId="211" w:customStyle="1">
    <w:name w:val="Основной текст (2)1"/>
    <w:basedOn w:val="Normal"/>
    <w:qFormat/>
    <w:pPr>
      <w:widowControl w:val="false"/>
      <w:shd w:val="clear" w:color="auto" w:fill="FFFFFF"/>
      <w:spacing w:lineRule="exact" w:line="230"/>
      <w:ind w:hanging="880"/>
      <w:jc w:val="left"/>
    </w:pPr>
    <w:rPr>
      <w:rFonts w:ascii="MS Reference Sans Serif" w:hAnsi="MS Reference Sans Serif" w:eastAsia="MS Reference Sans Serif" w:cs="MS Reference Sans Serif"/>
      <w:color w:val="000000"/>
      <w:sz w:val="19"/>
      <w:szCs w:val="19"/>
      <w:lang w:bidi="ru-RU"/>
    </w:rPr>
  </w:style>
  <w:style w:type="paragraph" w:styleId="15" w:customStyle="1">
    <w:name w:val="Колонтитул1"/>
    <w:basedOn w:val="Normal"/>
    <w:link w:val="Style18"/>
    <w:qFormat/>
    <w:pPr>
      <w:widowControl w:val="false"/>
      <w:shd w:val="clear" w:color="auto" w:fill="FFFFFF"/>
      <w:spacing w:lineRule="exact" w:line="280"/>
      <w:ind w:hanging="0"/>
      <w:jc w:val="left"/>
    </w:pPr>
    <w:rPr>
      <w:rFonts w:ascii="Segoe UI" w:hAnsi="Segoe UI" w:eastAsia="Segoe UI" w:cs="Segoe UI"/>
      <w:sz w:val="21"/>
      <w:szCs w:val="21"/>
    </w:rPr>
  </w:style>
  <w:style w:type="paragraph" w:styleId="Style29" w:customStyle="1">
    <w:name w:val="Подпись к картинке"/>
    <w:basedOn w:val="Normal"/>
    <w:link w:val="Style19"/>
    <w:qFormat/>
    <w:pPr>
      <w:widowControl w:val="false"/>
      <w:shd w:val="clear" w:color="auto" w:fill="FFFFFF"/>
      <w:spacing w:lineRule="exact" w:line="238"/>
      <w:ind w:hanging="360"/>
      <w:jc w:val="left"/>
    </w:pPr>
    <w:rPr>
      <w:rFonts w:ascii="MS Reference Sans Serif" w:hAnsi="MS Reference Sans Serif" w:eastAsia="MS Reference Sans Serif" w:cs="MS Reference Sans Serif"/>
      <w:sz w:val="19"/>
      <w:szCs w:val="19"/>
    </w:rPr>
  </w:style>
  <w:style w:type="paragraph" w:styleId="52" w:customStyle="1">
    <w:name w:val="Основной текст (5)"/>
    <w:basedOn w:val="Normal"/>
    <w:link w:val="51"/>
    <w:qFormat/>
    <w:pPr>
      <w:widowControl w:val="false"/>
      <w:shd w:val="clear" w:color="auto" w:fill="FFFFFF"/>
      <w:spacing w:lineRule="exact" w:line="241" w:before="6360" w:after="0"/>
      <w:ind w:hanging="880"/>
      <w:jc w:val="center"/>
    </w:pPr>
    <w:rPr>
      <w:rFonts w:ascii="MS Reference Sans Serif" w:hAnsi="MS Reference Sans Serif" w:eastAsia="MS Reference Sans Serif" w:cs="MS Reference Sans Serif"/>
      <w:b/>
      <w:bCs/>
      <w:sz w:val="19"/>
      <w:szCs w:val="19"/>
    </w:rPr>
  </w:style>
  <w:style w:type="paragraph" w:styleId="16" w:customStyle="1">
    <w:name w:val="Стиль1"/>
    <w:basedOn w:val="ListParagraph"/>
    <w:link w:val="12"/>
    <w:qFormat/>
    <w:pPr>
      <w:numPr>
        <w:ilvl w:val="2"/>
        <w:numId w:val="3"/>
      </w:numPr>
      <w:tabs>
        <w:tab w:val="clear" w:pos="708"/>
        <w:tab w:val="left" w:pos="1418" w:leader="none"/>
      </w:tabs>
      <w:jc w:val="both"/>
    </w:pPr>
    <w:rPr/>
  </w:style>
  <w:style w:type="numbering" w:styleId="NoList" w:default="1">
    <w:name w:val="No List"/>
    <w:uiPriority w:val="99"/>
    <w:semiHidden/>
    <w:unhideWhenUsed/>
    <w:qFormat/>
  </w:style>
  <w:style w:type="table" w:default="1" w:styleId="950">
    <w:name w:val="Normal Table"/>
    <w:uiPriority w:val="99"/>
    <w:semiHidden/>
    <w:unhideWhenUsed/>
    <w:tblPr>
      <w:tblCellMar>
        <w:left w:w="108" w:type="dxa"/>
        <w:top w:w="0" w:type="dxa"/>
        <w:right w:w="108" w:type="dxa"/>
        <w:bottom w:w="0" w:type="dxa"/>
      </w:tblCellMar>
    </w:tblPr>
  </w:style>
  <w:style w:type="table" w:customStyle="1" w:styleId="951">
    <w:name w:val="Table Grid Light"/>
    <w:basedOn w:val="950"/>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customStyle="1" w:styleId="952">
    <w:name w:val="Plain Table 1"/>
    <w:basedOn w:val="950"/>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blPr/>
      <w:tcPr>
        <w:shd w:val="clear" w:color="F2F2F2" w:fill="F2F2F2" w:themeFill="text1" w:themeFillTint="0"/>
      </w:tcPr>
    </w:tblStylePr>
    <w:tblStylePr w:type="band1Vert">
      <w:tblPr/>
      <w:tcPr>
        <w:shd w:val="clear" w:color="F2F2F2" w:fill="F2F2F2" w:themeFill="text1" w:themeFillTint="0"/>
      </w:tc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style>
  <w:style w:type="table" w:customStyle="1" w:styleId="953">
    <w:name w:val="Plain Table 2"/>
    <w:basedOn w:val="950"/>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style>
  <w:style w:type="table" w:customStyle="1" w:styleId="954">
    <w:name w:val="Plain Table 3"/>
    <w:basedOn w:val="950"/>
    <w:uiPriority w:val="99"/>
    <w:tblPr>
      <w:tblStyleRowBandSize w:val="1"/>
      <w:tblStyleColBandSize w:val="1"/>
      <w:tblCellMar>
        <w:left w:w="108" w:type="dxa"/>
        <w:top w:w="0" w:type="dxa"/>
        <w:right w:w="108" w:type="dxa"/>
        <w:bottom w:w="0" w:type="dxa"/>
      </w:tblCellMar>
    </w:tblPr>
    <w:tblStylePr w:type="band1Horz">
      <w:rPr>
        <w:sz w:val="22"/>
      </w:rPr>
      <w:tblPr/>
      <w:tcPr>
        <w:shd w:val="clear" w:color="F2F2F2" w:fill="F2F2F2" w:themeFill="text1" w:themeFillTint="0"/>
      </w:tcPr>
    </w:tblStylePr>
    <w:tblStylePr w:type="band1Vert">
      <w:rPr>
        <w:sz w:val="22"/>
      </w:rPr>
      <w:tblPr/>
      <w:tcPr>
        <w:shd w:val="clear" w:color="F2F2F2" w:fill="F2F2F2" w:themeFill="text1" w:themeFillTint="0"/>
      </w:tc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style>
  <w:style w:type="table" w:customStyle="1" w:styleId="955">
    <w:name w:val="Plain Table 4"/>
    <w:basedOn w:val="950"/>
    <w:uiPriority w:val="99"/>
    <w:tblPr>
      <w:tblStyleRowBandSize w:val="1"/>
      <w:tblStyleColBandSize w:val="1"/>
      <w:tblCellMar>
        <w:left w:w="108" w:type="dxa"/>
        <w:top w:w="0" w:type="dxa"/>
        <w:right w:w="108" w:type="dxa"/>
        <w:bottom w:w="0" w:type="dxa"/>
      </w:tblCellMar>
    </w:tblPr>
    <w:tblStylePr w:type="band1Horz">
      <w:rPr>
        <w:sz w:val="22"/>
      </w:rPr>
      <w:tblPr/>
      <w:tcPr>
        <w:shd w:val="clear" w:color="F2F2F2" w:fill="F2F2F2" w:themeFill="text1" w:themeFillTint="0"/>
      </w:tcPr>
    </w:tblStylePr>
    <w:tblStylePr w:type="band1Vert">
      <w:rPr>
        <w:sz w:val="22"/>
      </w:rPr>
      <w:tblPr/>
      <w:tcPr>
        <w:shd w:val="clear" w:color="F2F2F2" w:fill="F2F2F2" w:themeFill="text1" w:themeFillTint="0"/>
      </w:tcPr>
    </w:tblStylePr>
    <w:tblStylePr w:type="firstCol">
      <w:rPr>
        <w:b/>
      </w:rPr>
      <w:tblPr/>
    </w:tblStylePr>
    <w:tblStylePr w:type="firstRow">
      <w:rPr>
        <w:b/>
      </w:rPr>
      <w:tblPr/>
    </w:tblStylePr>
    <w:tblStylePr w:type="lastCol">
      <w:rPr>
        <w:b/>
      </w:rPr>
      <w:tblPr/>
    </w:tblStylePr>
    <w:tblStylePr w:type="lastRow">
      <w:rPr>
        <w:b/>
      </w:rPr>
      <w:tblPr/>
    </w:tblStylePr>
  </w:style>
  <w:style w:type="table" w:customStyle="1" w:styleId="956">
    <w:name w:val="Plain Table 5"/>
    <w:basedOn w:val="950"/>
    <w:uiPriority w:val="99"/>
    <w:tblPr>
      <w:tblStyleRowBandSize w:val="1"/>
      <w:tblStyleColBandSize w:val="1"/>
      <w:tblCellMar>
        <w:left w:w="108" w:type="dxa"/>
        <w:top w:w="0" w:type="dxa"/>
        <w:right w:w="108" w:type="dxa"/>
        <w:bottom w:w="0" w:type="dxa"/>
      </w:tblCellMar>
    </w:tblPr>
    <w:tblStylePr w:type="band1Horz">
      <w:rPr>
        <w:sz w:val="22"/>
      </w:rPr>
      <w:tblPr/>
      <w:tcPr>
        <w:shd w:val="clear" w:color="F2F2F2" w:fill="F2F2F2" w:themeFill="text1" w:themeFillTint="0"/>
      </w:tcPr>
    </w:tblStylePr>
    <w:tblStylePr w:type="band1Vert">
      <w:rPr>
        <w:sz w:val="22"/>
      </w:rPr>
      <w:tblPr/>
      <w:tcPr>
        <w:shd w:val="clear" w:color="F2F2F2" w:fill="F2F2F2" w:themeFill="text1" w:themeFillTint="0"/>
      </w:tcPr>
    </w:tblStylePr>
    <w:tblStylePr w:type="firstCol">
      <w:pPr>
        <w:jc w:val="right"/>
      </w:pPr>
      <w:rPr>
        <w:i/>
      </w:rPr>
      <w:tblPr/>
      <w:tcPr>
        <w:tcBorders>
          <w:right w:val="single" w:color="404040" w:sz="4" w:space="0"/>
        </w:tcBorders>
        <w:shd w:val="clear" w:color="FFFFFF" w:fill="auto"/>
      </w:tcPr>
    </w:tblStyle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Col">
      <w:rPr>
        <w:i/>
      </w:rPr>
      <w:tblPr/>
      <w:tcPr>
        <w:tcBorders>
          <w:left w:val="single" w:color="40404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style>
  <w:style w:type="table" w:customStyle="1" w:styleId="957">
    <w:name w:val="Grid Table 1 Light"/>
    <w:basedOn w:val="950"/>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108" w:type="dxa"/>
        <w:top w:w="0" w:type="dxa"/>
        <w:right w:w="108" w:type="dxa"/>
        <w:bottom w:w="0" w:type="dxa"/>
      </w:tblCellMar>
    </w:tblPr>
    <w:tblStylePr w:type="band1Horz">
      <w:rPr>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rPr>
      <w:tblPr/>
    </w:tblStylePr>
    <w:tblStylePr w:type="firstRow">
      <w:rPr>
        <w:b/>
      </w:rPr>
      <w:tblPr/>
      <w:tcPr>
        <w:tcBorders>
          <w:bottom w:val="single" w:color="6A6A6A" w:themeColor="text1" w:sz="12" w:space="0"/>
        </w:tcBorders>
      </w:tcPr>
    </w:tblStylePr>
    <w:tblStylePr w:type="lastCol">
      <w:rPr>
        <w:b/>
      </w:rPr>
      <w:tblPr/>
    </w:tblStylePr>
    <w:tblStylePr w:type="lastRow">
      <w:rPr>
        <w:b/>
      </w:rPr>
      <w:tblPr/>
    </w:tblStylePr>
  </w:style>
  <w:style w:type="table" w:customStyle="1" w:styleId="958">
    <w:name w:val="Grid Table 1 Light - Accent 1"/>
    <w:basedOn w:val="950"/>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b/>
      </w:rPr>
      <w:tblPr/>
    </w:tblStylePr>
    <w:tblStylePr w:type="firstRow">
      <w:rPr>
        <w:b/>
      </w:rPr>
      <w:tblPr/>
      <w:tcPr>
        <w:tcBorders>
          <w:bottom w:val="single" w:color="97B4D8" w:themeColor="accent1" w:sz="12" w:space="0"/>
        </w:tcBorders>
      </w:tcPr>
    </w:tblStylePr>
    <w:tblStylePr w:type="lastCol">
      <w:rPr>
        <w:b/>
      </w:rPr>
      <w:tblPr/>
    </w:tblStylePr>
    <w:tblStylePr w:type="lastRow">
      <w:rPr>
        <w:b/>
      </w:rPr>
      <w:tblPr/>
    </w:tblStylePr>
  </w:style>
  <w:style w:type="table" w:customStyle="1" w:styleId="959">
    <w:name w:val="Grid Table 1 Light - Accent 2"/>
    <w:basedOn w:val="950"/>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b/>
      </w:rPr>
      <w:tblPr/>
    </w:tblStylePr>
    <w:tblStylePr w:type="firstRow">
      <w:rPr>
        <w:b/>
      </w:rPr>
      <w:tblPr/>
      <w:tcPr>
        <w:tcBorders>
          <w:bottom w:val="single" w:color="DA9896" w:themeColor="accent2" w:sz="12" w:space="0"/>
        </w:tcBorders>
      </w:tcPr>
    </w:tblStylePr>
    <w:tblStylePr w:type="lastCol">
      <w:rPr>
        <w:b/>
      </w:rPr>
      <w:tblPr/>
    </w:tblStylePr>
    <w:tblStylePr w:type="lastRow">
      <w:rPr>
        <w:b/>
      </w:rPr>
      <w:tblPr/>
    </w:tblStylePr>
  </w:style>
  <w:style w:type="table" w:customStyle="1" w:styleId="960">
    <w:name w:val="Grid Table 1 Light - Accent 3"/>
    <w:basedOn w:val="950"/>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b/>
      </w:rPr>
      <w:tblPr/>
    </w:tblStylePr>
    <w:tblStylePr w:type="firstRow">
      <w:rPr>
        <w:b/>
      </w:rPr>
      <w:tblPr/>
      <w:tcPr>
        <w:tcBorders>
          <w:bottom w:val="single" w:color="C4D79D" w:themeColor="accent3" w:sz="12" w:space="0"/>
        </w:tcBorders>
      </w:tcPr>
    </w:tblStylePr>
    <w:tblStylePr w:type="lastCol">
      <w:rPr>
        <w:b/>
      </w:rPr>
      <w:tblPr/>
    </w:tblStylePr>
    <w:tblStylePr w:type="lastRow">
      <w:rPr>
        <w:b/>
      </w:rPr>
      <w:tblPr/>
    </w:tblStylePr>
  </w:style>
  <w:style w:type="table" w:customStyle="1" w:styleId="961">
    <w:name w:val="Grid Table 1 Light - Accent 4"/>
    <w:basedOn w:val="950"/>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b/>
      </w:rPr>
      <w:tblPr/>
    </w:tblStylePr>
    <w:tblStylePr w:type="firstRow">
      <w:rPr>
        <w:b/>
      </w:rPr>
      <w:tblPr/>
      <w:tcPr>
        <w:tcBorders>
          <w:bottom w:val="single" w:color="B4A4C8" w:themeColor="accent4" w:sz="12" w:space="0"/>
        </w:tcBorders>
      </w:tcPr>
    </w:tblStylePr>
    <w:tblStylePr w:type="lastCol">
      <w:rPr>
        <w:b/>
      </w:rPr>
      <w:tblPr/>
    </w:tblStylePr>
    <w:tblStylePr w:type="lastRow">
      <w:rPr>
        <w:b/>
      </w:rPr>
      <w:tblPr/>
    </w:tblStylePr>
  </w:style>
  <w:style w:type="table" w:customStyle="1" w:styleId="962">
    <w:name w:val="Grid Table 1 Light - Accent 5"/>
    <w:basedOn w:val="950"/>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b/>
      </w:rPr>
      <w:tblPr/>
    </w:tblStylePr>
    <w:tblStylePr w:type="firstRow">
      <w:rPr>
        <w:b/>
      </w:rPr>
      <w:tblPr/>
      <w:tcPr>
        <w:tcBorders>
          <w:bottom w:val="single" w:color="95CEDD" w:themeColor="accent5" w:sz="12" w:space="0"/>
        </w:tcBorders>
      </w:tcPr>
    </w:tblStylePr>
    <w:tblStylePr w:type="lastCol">
      <w:rPr>
        <w:b/>
      </w:rPr>
      <w:tblPr/>
    </w:tblStylePr>
    <w:tblStylePr w:type="lastRow">
      <w:rPr>
        <w:b/>
      </w:rPr>
      <w:tblPr/>
    </w:tblStylePr>
  </w:style>
  <w:style w:type="table" w:customStyle="1" w:styleId="963">
    <w:name w:val="Grid Table 1 Light - Accent 6"/>
    <w:basedOn w:val="950"/>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b/>
      </w:rPr>
      <w:tblPr/>
    </w:tblStylePr>
    <w:tblStylePr w:type="firstRow">
      <w:rPr>
        <w:b/>
      </w:rPr>
      <w:tblPr/>
      <w:tcPr>
        <w:tcBorders>
          <w:bottom w:val="single" w:color="FAC192" w:themeColor="accent6" w:sz="12" w:space="0"/>
        </w:tcBorders>
      </w:tcPr>
    </w:tblStylePr>
    <w:tblStylePr w:type="lastCol">
      <w:rPr>
        <w:b/>
      </w:rPr>
      <w:tblPr/>
    </w:tblStylePr>
    <w:tblStylePr w:type="lastRow">
      <w:rPr>
        <w:b/>
      </w:rPr>
      <w:tblPr/>
    </w:tblStylePr>
  </w:style>
  <w:style w:type="table" w:customStyle="1" w:styleId="964">
    <w:name w:val="Grid Table 2"/>
    <w:basedOn w:val="950"/>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sz w:val="22"/>
      </w:rPr>
      <w:tblPr/>
      <w:tcPr>
        <w:shd w:val="clear" w:color="CBCBCB" w:fill="CBCBCB" w:themeFill="text1" w:themeFillTint="34"/>
      </w:tcPr>
    </w:tblStylePr>
    <w:tblStylePr w:type="band1Vert">
      <w:rPr>
        <w:sz w:val="22"/>
      </w:rPr>
      <w:tblPr/>
      <w:tcPr>
        <w:shd w:val="clear" w:color="CBCBCB" w:fill="CBCBCB" w:themeFill="text1" w:themeFillTint="34"/>
      </w:tcPr>
    </w:tblStylePr>
    <w:tblStylePr w:type="firstCol">
      <w:rPr>
        <w:b/>
      </w:rPr>
      <w:tblPr/>
    </w:tblStylePr>
    <w:tblStylePr w:type="firstRow">
      <w:rPr>
        <w:b/>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rPr>
      <w:tblPr/>
    </w:tblStylePr>
    <w:tblStylePr w:type="lastRow">
      <w:rPr>
        <w:b/>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965">
    <w:name w:val="Grid Table 2 - Accent 1"/>
    <w:basedOn w:val="950"/>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sz w:val="22"/>
      </w:rPr>
      <w:tblPr/>
      <w:tcPr>
        <w:shd w:val="clear" w:color="DAE5F1" w:fill="DAE5F1" w:themeFill="accent1" w:themeFillTint="34"/>
      </w:tcPr>
    </w:tblStylePr>
    <w:tblStylePr w:type="band1Vert">
      <w:rPr>
        <w:sz w:val="22"/>
      </w:rPr>
      <w:tblPr/>
      <w:tcPr>
        <w:shd w:val="clear" w:color="DAE5F1" w:fill="DAE5F1" w:themeFill="accent1" w:themeFillTint="34"/>
      </w:tcPr>
    </w:tblStylePr>
    <w:tblStylePr w:type="firstCol">
      <w:rPr>
        <w:b/>
      </w:rPr>
      <w:tblPr/>
    </w:tblStylePr>
    <w:tblStylePr w:type="firstRow">
      <w:rPr>
        <w:b/>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Col">
      <w:rPr>
        <w:b/>
      </w:rPr>
      <w:tblPr/>
    </w:tblStylePr>
    <w:tblStylePr w:type="lastRow">
      <w:rPr>
        <w:b/>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style>
  <w:style w:type="table" w:customStyle="1" w:styleId="966">
    <w:name w:val="Grid Table 2 - Accent 2"/>
    <w:basedOn w:val="950"/>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sz w:val="22"/>
      </w:rPr>
      <w:tblPr/>
      <w:tcPr>
        <w:shd w:val="clear" w:color="F2DCDC" w:fill="F2DCDC" w:themeFill="accent2" w:themeFillTint="32"/>
      </w:tcPr>
    </w:tblStylePr>
    <w:tblStylePr w:type="band1Vert">
      <w:rPr>
        <w:sz w:val="22"/>
      </w:rPr>
      <w:tblPr/>
      <w:tcPr>
        <w:shd w:val="clear" w:color="F2DCDC" w:fill="F2DCDC" w:themeFill="accent2" w:themeFillTint="32"/>
      </w:tcPr>
    </w:tblStylePr>
    <w:tblStylePr w:type="firstCol">
      <w:rPr>
        <w:b/>
      </w:rPr>
      <w:tblPr/>
    </w:tblStylePr>
    <w:tblStylePr w:type="firstRow">
      <w:rPr>
        <w:b/>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Col">
      <w:rPr>
        <w:b/>
      </w:rPr>
      <w:tblPr/>
    </w:tblStylePr>
    <w:tblStylePr w:type="lastRow">
      <w:rPr>
        <w:b/>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style>
  <w:style w:type="table" w:customStyle="1" w:styleId="967">
    <w:name w:val="Grid Table 2 - Accent 3"/>
    <w:basedOn w:val="950"/>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sz w:val="22"/>
      </w:rPr>
      <w:tblPr/>
      <w:tcPr>
        <w:shd w:val="clear" w:color="EAF1DC" w:fill="EAF1DC" w:themeFill="accent3" w:themeFillTint="34"/>
      </w:tcPr>
    </w:tblStylePr>
    <w:tblStylePr w:type="band1Vert">
      <w:rPr>
        <w:sz w:val="22"/>
      </w:rPr>
      <w:tblPr/>
      <w:tcPr>
        <w:shd w:val="clear" w:color="EAF1DC" w:fill="EAF1DC" w:themeFill="accent3" w:themeFillTint="34"/>
      </w:tcPr>
    </w:tblStylePr>
    <w:tblStylePr w:type="firstCol">
      <w:rPr>
        <w:b/>
      </w:rPr>
      <w:tblPr/>
    </w:tblStylePr>
    <w:tblStylePr w:type="firstRow">
      <w:rPr>
        <w:b/>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Col">
      <w:rPr>
        <w:b/>
      </w:rPr>
      <w:tblPr/>
    </w:tblStylePr>
    <w:tblStylePr w:type="lastRow">
      <w:rPr>
        <w:b/>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style>
  <w:style w:type="table" w:customStyle="1" w:styleId="968">
    <w:name w:val="Grid Table 2 - Accent 4"/>
    <w:basedOn w:val="950"/>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sz w:val="22"/>
      </w:rPr>
      <w:tblPr/>
      <w:tcPr>
        <w:shd w:val="clear" w:color="E5DFEC" w:fill="E5DFEC" w:themeFill="accent4" w:themeFillTint="34"/>
      </w:tcPr>
    </w:tblStylePr>
    <w:tblStylePr w:type="band1Vert">
      <w:rPr>
        <w:sz w:val="22"/>
      </w:rPr>
      <w:tblPr/>
      <w:tcPr>
        <w:shd w:val="clear" w:color="E5DFEC" w:fill="E5DFEC" w:themeFill="accent4" w:themeFillTint="34"/>
      </w:tcPr>
    </w:tblStylePr>
    <w:tblStylePr w:type="firstCol">
      <w:rPr>
        <w:b/>
      </w:rPr>
      <w:tblPr/>
    </w:tblStylePr>
    <w:tblStylePr w:type="firstRow">
      <w:rPr>
        <w:b/>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Col">
      <w:rPr>
        <w:b/>
      </w:rPr>
      <w:tblPr/>
    </w:tblStylePr>
    <w:tblStylePr w:type="lastRow">
      <w:rPr>
        <w:b/>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style>
  <w:style w:type="table" w:customStyle="1" w:styleId="969">
    <w:name w:val="Grid Table 2 - Accent 5"/>
    <w:basedOn w:val="950"/>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sz w:val="22"/>
      </w:rPr>
      <w:tblPr/>
      <w:tcPr>
        <w:shd w:val="clear" w:color="DAEEF3" w:fill="DAEEF3" w:themeFill="accent5" w:themeFillTint="34"/>
      </w:tcPr>
    </w:tblStylePr>
    <w:tblStylePr w:type="band1Vert">
      <w:rPr>
        <w:sz w:val="22"/>
      </w:rPr>
      <w:tblPr/>
      <w:tcPr>
        <w:shd w:val="clear" w:color="DAEEF3" w:fill="DAEEF3" w:themeFill="accent5" w:themeFillTint="34"/>
      </w:tcPr>
    </w:tblStylePr>
    <w:tblStylePr w:type="firstCol">
      <w:rPr>
        <w:b/>
      </w:rPr>
      <w:tblPr/>
    </w:tblStylePr>
    <w:tblStylePr w:type="firstRow">
      <w:rPr>
        <w:b/>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Col">
      <w:rPr>
        <w:b/>
      </w:rPr>
      <w:tblPr/>
    </w:tblStylePr>
    <w:tblStylePr w:type="lastRow">
      <w:rPr>
        <w:b/>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style>
  <w:style w:type="table" w:customStyle="1" w:styleId="970">
    <w:name w:val="Grid Table 2 - Accent 6"/>
    <w:basedOn w:val="950"/>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sz w:val="22"/>
      </w:rPr>
      <w:tblPr/>
      <w:tcPr>
        <w:shd w:val="clear" w:color="FDE9D8" w:fill="FDE9D8" w:themeFill="accent6" w:themeFillTint="34"/>
      </w:tcPr>
    </w:tblStylePr>
    <w:tblStylePr w:type="band1Vert">
      <w:rPr>
        <w:sz w:val="22"/>
      </w:rPr>
      <w:tblPr/>
      <w:tcPr>
        <w:shd w:val="clear" w:color="FDE9D8" w:fill="FDE9D8" w:themeFill="accent6" w:themeFillTint="34"/>
      </w:tcPr>
    </w:tblStylePr>
    <w:tblStylePr w:type="firstCol">
      <w:rPr>
        <w:b/>
      </w:rPr>
      <w:tblPr/>
    </w:tblStylePr>
    <w:tblStylePr w:type="firstRow">
      <w:rPr>
        <w:b/>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Col">
      <w:rPr>
        <w:b/>
      </w:rPr>
      <w:tblPr/>
    </w:tblStylePr>
    <w:tblStylePr w:type="lastRow">
      <w:rPr>
        <w:b/>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style>
  <w:style w:type="table" w:customStyle="1" w:styleId="971">
    <w:name w:val="Grid Table 3"/>
    <w:basedOn w:val="950"/>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sz w:val="22"/>
      </w:rPr>
      <w:tblPr/>
      <w:tcPr>
        <w:shd w:val="clear" w:color="CBCBCB" w:fill="CBCBCB" w:themeFill="text1" w:themeFillTint="34"/>
      </w:tcPr>
    </w:tblStylePr>
    <w:tblStylePr w:type="band1Vert">
      <w:rPr>
        <w:sz w:val="22"/>
      </w:rPr>
      <w:tblPr/>
      <w:tcPr>
        <w:shd w:val="clear" w:color="CBCBCB" w:fill="CBCBCB" w:themeFill="tex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2">
    <w:name w:val="Grid Table 3 - Accent 1"/>
    <w:basedOn w:val="950"/>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sz w:val="22"/>
      </w:rPr>
      <w:tblPr/>
      <w:tcPr>
        <w:shd w:val="clear" w:color="DAE5F1" w:fill="DAE5F1" w:themeFill="accent1" w:themeFillTint="34"/>
      </w:tcPr>
    </w:tblStylePr>
    <w:tblStylePr w:type="band1Vert">
      <w:rPr>
        <w:sz w:val="22"/>
      </w:rPr>
      <w:tblPr/>
      <w:tcPr>
        <w:shd w:val="clear" w:color="DAE5F1" w:fill="DAE5F1" w:themeFill="accen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3">
    <w:name w:val="Grid Table 3 - Accent 2"/>
    <w:basedOn w:val="950"/>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sz w:val="22"/>
      </w:rPr>
      <w:tblPr/>
      <w:tcPr>
        <w:shd w:val="clear" w:color="F2DCDC" w:fill="F2DCDC" w:themeFill="accent2" w:themeFillTint="32"/>
      </w:tcPr>
    </w:tblStylePr>
    <w:tblStylePr w:type="band1Vert">
      <w:rPr>
        <w:sz w:val="22"/>
      </w:rPr>
      <w:tblPr/>
      <w:tcPr>
        <w:shd w:val="clear" w:color="F2DCDC" w:fill="F2DCDC" w:themeFill="accent2" w:themeFillTint="32"/>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4">
    <w:name w:val="Grid Table 3 - Accent 3"/>
    <w:basedOn w:val="950"/>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sz w:val="22"/>
      </w:rPr>
      <w:tblPr/>
      <w:tcPr>
        <w:shd w:val="clear" w:color="EAF1DC" w:fill="EAF1DC" w:themeFill="accent3" w:themeFillTint="34"/>
      </w:tcPr>
    </w:tblStylePr>
    <w:tblStylePr w:type="band1Vert">
      <w:rPr>
        <w:sz w:val="22"/>
      </w:rPr>
      <w:tblPr/>
      <w:tcPr>
        <w:shd w:val="clear" w:color="EAF1DC" w:fill="EAF1DC" w:themeFill="accent3"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5">
    <w:name w:val="Grid Table 3 - Accent 4"/>
    <w:basedOn w:val="950"/>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sz w:val="22"/>
      </w:rPr>
      <w:tblPr/>
      <w:tcPr>
        <w:shd w:val="clear" w:color="E5DFEC" w:fill="E5DFEC" w:themeFill="accent4" w:themeFillTint="34"/>
      </w:tcPr>
    </w:tblStylePr>
    <w:tblStylePr w:type="band1Vert">
      <w:rPr>
        <w:sz w:val="22"/>
      </w:rPr>
      <w:tblPr/>
      <w:tcPr>
        <w:shd w:val="clear" w:color="E5DFEC" w:fill="E5DFEC" w:themeFill="accent4"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6">
    <w:name w:val="Grid Table 3 - Accent 5"/>
    <w:basedOn w:val="950"/>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sz w:val="22"/>
      </w:rPr>
      <w:tblPr/>
      <w:tcPr>
        <w:shd w:val="clear" w:color="DAEEF3" w:fill="DAEEF3" w:themeFill="accent5" w:themeFillTint="34"/>
      </w:tcPr>
    </w:tblStylePr>
    <w:tblStylePr w:type="band1Vert">
      <w:rPr>
        <w:sz w:val="22"/>
      </w:rPr>
      <w:tblPr/>
      <w:tcPr>
        <w:shd w:val="clear" w:color="DAEEF3" w:fill="DAEEF3" w:themeFill="accent5"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7">
    <w:name w:val="Grid Table 3 - Accent 6"/>
    <w:basedOn w:val="950"/>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sz w:val="22"/>
      </w:rPr>
      <w:tblPr/>
      <w:tcPr>
        <w:shd w:val="clear" w:color="FDE9D8" w:fill="FDE9D8" w:themeFill="accent6" w:themeFillTint="34"/>
      </w:tcPr>
    </w:tblStylePr>
    <w:tblStylePr w:type="band1Vert">
      <w:rPr>
        <w:sz w:val="22"/>
      </w:rPr>
      <w:tblPr/>
      <w:tcPr>
        <w:shd w:val="clear" w:color="FDE9D8" w:fill="FDE9D8" w:themeFill="accent6"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978">
    <w:name w:val="Grid Table 4"/>
    <w:basedOn w:val="950"/>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108" w:type="dxa"/>
        <w:top w:w="0" w:type="dxa"/>
        <w:right w:w="108" w:type="dxa"/>
        <w:bottom w:w="0" w:type="dxa"/>
      </w:tblCellMar>
    </w:tblPr>
    <w:tblStylePr w:type="band1Horz">
      <w:rPr>
        <w:sz w:val="22"/>
      </w:rPr>
      <w:tblPr/>
      <w:tcPr>
        <w:shd w:val="clear" w:color="CBCBCB" w:fill="CBCBCB" w:themeFill="text1" w:themeFillTint="34"/>
      </w:tcPr>
    </w:tblStylePr>
    <w:tblStylePr w:type="band1Vert">
      <w:rPr>
        <w:sz w:val="22"/>
      </w:rPr>
      <w:tblPr/>
      <w:tcPr>
        <w:shd w:val="clear" w:color="CBCBCB" w:fill="CBCBCB" w:themeFill="text1" w:themeFillTint="34"/>
      </w:tc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rPr>
      <w:tblPr/>
    </w:tblStylePr>
    <w:tblStylePr w:type="lastRow">
      <w:rPr>
        <w:b/>
      </w:rPr>
      <w:tblPr/>
      <w:tcPr>
        <w:tcBorders>
          <w:top w:val="single" w:color="000000" w:themeColor="text1" w:sz="4" w:space="0"/>
        </w:tcBorders>
      </w:tcPr>
    </w:tblStylePr>
  </w:style>
  <w:style w:type="table" w:customStyle="1" w:styleId="979">
    <w:name w:val="Grid Table 4 - Accent 1"/>
    <w:basedOn w:val="950"/>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108" w:type="dxa"/>
        <w:top w:w="0" w:type="dxa"/>
        <w:right w:w="108" w:type="dxa"/>
        <w:bottom w:w="0" w:type="dxa"/>
      </w:tblCellMar>
    </w:tblPr>
    <w:tblStylePr w:type="band1Horz">
      <w:rPr>
        <w:sz w:val="22"/>
      </w:rPr>
      <w:tblPr/>
      <w:tcPr>
        <w:shd w:val="clear" w:color="DCE6F2" w:fill="DCE6F2" w:themeFill="accent1" w:themeFillTint="32"/>
      </w:tcPr>
    </w:tblStylePr>
    <w:tblStylePr w:type="band1Vert">
      <w:rPr>
        <w:sz w:val="22"/>
      </w:rPr>
      <w:tblPr/>
      <w:tcPr>
        <w:shd w:val="clear" w:color="DCE6F2" w:fill="DCE6F2" w:themeFill="accent1" w:themeFillTint="32"/>
      </w:tcPr>
    </w:tblStylePr>
    <w:tblStylePr w:type="firstCol">
      <w:rPr>
        <w:b/>
      </w:rPr>
      <w:tblPr/>
    </w:tblStylePr>
    <w:tblStylePr w:type="firstRow">
      <w:rPr>
        <w:b/>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Col">
      <w:rPr>
        <w:b/>
      </w:rPr>
      <w:tblPr/>
    </w:tblStylePr>
    <w:tblStylePr w:type="lastRow">
      <w:rPr>
        <w:b/>
      </w:rPr>
      <w:tblPr/>
      <w:tcPr>
        <w:tcBorders>
          <w:top w:val="single" w:color="5D8AC2" w:themeColor="accent1" w:sz="4" w:space="0"/>
        </w:tcBorders>
      </w:tcPr>
    </w:tblStylePr>
  </w:style>
  <w:style w:type="table" w:customStyle="1" w:styleId="980">
    <w:name w:val="Grid Table 4 - Accent 2"/>
    <w:basedOn w:val="950"/>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108" w:type="dxa"/>
        <w:top w:w="0" w:type="dxa"/>
        <w:right w:w="108" w:type="dxa"/>
        <w:bottom w:w="0" w:type="dxa"/>
      </w:tblCellMar>
    </w:tblPr>
    <w:tblStylePr w:type="band1Horz">
      <w:rPr>
        <w:sz w:val="22"/>
      </w:rPr>
      <w:tblPr/>
      <w:tcPr>
        <w:shd w:val="clear" w:color="F2DCDC" w:fill="F2DCDC" w:themeFill="accent2" w:themeFillTint="32"/>
      </w:tcPr>
    </w:tblStylePr>
    <w:tblStylePr w:type="band1Vert">
      <w:rPr>
        <w:sz w:val="22"/>
      </w:rPr>
      <w:tblPr/>
      <w:tcPr>
        <w:shd w:val="clear" w:color="F2DCDC" w:fill="F2DCDC" w:themeFill="accent2" w:themeFillTint="32"/>
      </w:tcPr>
    </w:tblStylePr>
    <w:tblStylePr w:type="firstCol">
      <w:rPr>
        <w:b/>
      </w:rPr>
      <w:tblPr/>
    </w:tblStylePr>
    <w:tblStylePr w:type="firstRow">
      <w:rPr>
        <w:b/>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Col">
      <w:rPr>
        <w:b/>
      </w:rPr>
      <w:tblPr/>
    </w:tblStylePr>
    <w:tblStylePr w:type="lastRow">
      <w:rPr>
        <w:b/>
      </w:rPr>
      <w:tblPr/>
      <w:tcPr>
        <w:tcBorders>
          <w:top w:val="single" w:color="D99695" w:themeColor="accent2" w:sz="4" w:space="0"/>
        </w:tcBorders>
      </w:tcPr>
    </w:tblStylePr>
  </w:style>
  <w:style w:type="table" w:customStyle="1" w:styleId="981">
    <w:name w:val="Grid Table 4 - Accent 3"/>
    <w:basedOn w:val="950"/>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108" w:type="dxa"/>
        <w:top w:w="0" w:type="dxa"/>
        <w:right w:w="108" w:type="dxa"/>
        <w:bottom w:w="0" w:type="dxa"/>
      </w:tblCellMar>
    </w:tblPr>
    <w:tblStylePr w:type="band1Horz">
      <w:rPr>
        <w:sz w:val="22"/>
      </w:rPr>
      <w:tblPr/>
      <w:tcPr>
        <w:shd w:val="clear" w:color="EAF1DC" w:fill="EAF1DC" w:themeFill="accent3" w:themeFillTint="34"/>
      </w:tcPr>
    </w:tblStylePr>
    <w:tblStylePr w:type="band1Vert">
      <w:rPr>
        <w:sz w:val="22"/>
      </w:rPr>
      <w:tblPr/>
      <w:tcPr>
        <w:shd w:val="clear" w:color="EAF1DC" w:fill="EAF1DC" w:themeFill="accent3" w:themeFillTint="34"/>
      </w:tcPr>
    </w:tblStylePr>
    <w:tblStylePr w:type="firstCol">
      <w:rPr>
        <w:b/>
      </w:rPr>
      <w:tblPr/>
    </w:tblStylePr>
    <w:tblStylePr w:type="firstRow">
      <w:rPr>
        <w:b/>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Col">
      <w:rPr>
        <w:b/>
      </w:rPr>
      <w:tblPr/>
    </w:tblStylePr>
    <w:tblStylePr w:type="lastRow">
      <w:rPr>
        <w:b/>
      </w:rPr>
      <w:tblPr/>
      <w:tcPr>
        <w:tcBorders>
          <w:top w:val="single" w:color="9ABB59" w:themeColor="accent3" w:sz="4" w:space="0"/>
        </w:tcBorders>
      </w:tcPr>
    </w:tblStylePr>
  </w:style>
  <w:style w:type="table" w:customStyle="1" w:styleId="982">
    <w:name w:val="Grid Table 4 - Accent 4"/>
    <w:basedOn w:val="950"/>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108" w:type="dxa"/>
        <w:top w:w="0" w:type="dxa"/>
        <w:right w:w="108" w:type="dxa"/>
        <w:bottom w:w="0" w:type="dxa"/>
      </w:tblCellMar>
    </w:tblPr>
    <w:tblStylePr w:type="band1Horz">
      <w:rPr>
        <w:sz w:val="22"/>
      </w:rPr>
      <w:tblPr/>
      <w:tcPr>
        <w:shd w:val="clear" w:color="E5DFEC" w:fill="E5DFEC" w:themeFill="accent4" w:themeFillTint="34"/>
      </w:tcPr>
    </w:tblStylePr>
    <w:tblStylePr w:type="band1Vert">
      <w:rPr>
        <w:sz w:val="22"/>
      </w:rPr>
      <w:tblPr/>
      <w:tcPr>
        <w:shd w:val="clear" w:color="E5DFEC" w:fill="E5DFEC" w:themeFill="accent4" w:themeFillTint="34"/>
      </w:tcPr>
    </w:tblStylePr>
    <w:tblStylePr w:type="firstCol">
      <w:rPr>
        <w:b/>
      </w:rPr>
      <w:tblPr/>
    </w:tblStylePr>
    <w:tblStylePr w:type="firstRow">
      <w:rPr>
        <w:b/>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Col">
      <w:rPr>
        <w:b/>
      </w:rPr>
      <w:tblPr/>
    </w:tblStylePr>
    <w:tblStylePr w:type="lastRow">
      <w:rPr>
        <w:b/>
      </w:rPr>
      <w:tblPr/>
      <w:tcPr>
        <w:tcBorders>
          <w:top w:val="single" w:color="B2A1C6" w:themeColor="accent4" w:sz="4" w:space="0"/>
        </w:tcBorders>
      </w:tcPr>
    </w:tblStylePr>
  </w:style>
  <w:style w:type="table" w:customStyle="1" w:styleId="983">
    <w:name w:val="Grid Table 4 - Accent 5"/>
    <w:basedOn w:val="950"/>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sz w:val="22"/>
      </w:rPr>
      <w:tblPr/>
      <w:tcPr>
        <w:shd w:val="clear" w:color="DAEEF3" w:fill="DAEEF3" w:themeFill="accent5" w:themeFillTint="34"/>
      </w:tcPr>
    </w:tblStylePr>
    <w:tblStylePr w:type="band1Vert">
      <w:rPr>
        <w:sz w:val="22"/>
      </w:rPr>
      <w:tblPr/>
      <w:tcPr>
        <w:shd w:val="clear" w:color="DAEEF3" w:fill="DAEEF3" w:themeFill="accent5" w:themeFillTint="34"/>
      </w:tcPr>
    </w:tblStylePr>
    <w:tblStylePr w:type="firstCol">
      <w:rPr>
        <w:b/>
      </w:rPr>
      <w:tblPr/>
    </w:tblStylePr>
    <w:tblStylePr w:type="firstRow">
      <w:rPr>
        <w:b/>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Col">
      <w:rPr>
        <w:b/>
      </w:rPr>
      <w:tblPr/>
    </w:tblStylePr>
    <w:tblStylePr w:type="lastRow">
      <w:rPr>
        <w:b/>
      </w:rPr>
      <w:tblPr/>
      <w:tcPr>
        <w:tcBorders>
          <w:top w:val="single" w:color="4BACC6" w:themeColor="accent5" w:sz="4" w:space="0"/>
        </w:tcBorders>
      </w:tcPr>
    </w:tblStylePr>
  </w:style>
  <w:style w:type="table" w:customStyle="1" w:styleId="984">
    <w:name w:val="Grid Table 4 - Accent 6"/>
    <w:basedOn w:val="950"/>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sz w:val="22"/>
      </w:rPr>
      <w:tblPr/>
      <w:tcPr>
        <w:shd w:val="clear" w:color="FDE9D8" w:fill="FDE9D8" w:themeFill="accent6" w:themeFillTint="34"/>
      </w:tcPr>
    </w:tblStylePr>
    <w:tblStylePr w:type="band1Vert">
      <w:rPr>
        <w:sz w:val="22"/>
      </w:rPr>
      <w:tblPr/>
      <w:tcPr>
        <w:shd w:val="clear" w:color="FDE9D8" w:fill="FDE9D8" w:themeFill="accent6" w:themeFillTint="34"/>
      </w:tcPr>
    </w:tblStylePr>
    <w:tblStylePr w:type="firstCol">
      <w:rPr>
        <w:b/>
      </w:rPr>
      <w:tblPr/>
    </w:tblStylePr>
    <w:tblStylePr w:type="firstRow">
      <w:rPr>
        <w:b/>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Col">
      <w:rPr>
        <w:b/>
      </w:rPr>
      <w:tblPr/>
    </w:tblStylePr>
    <w:tblStylePr w:type="lastRow">
      <w:rPr>
        <w:b/>
      </w:rPr>
      <w:tblPr/>
      <w:tcPr>
        <w:tcBorders>
          <w:top w:val="single" w:color="F79646" w:themeColor="accent6" w:sz="4" w:space="0"/>
        </w:tcBorders>
      </w:tcPr>
    </w:tblStylePr>
  </w:style>
  <w:style w:type="table" w:customStyle="1" w:styleId="985">
    <w:name w:val="Grid Table 5 Dark"/>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sz w:val="22"/>
      </w:rPr>
      <w:tblPr/>
      <w:tcPr>
        <w:shd w:val="clear" w:color="000000" w:fill="000000" w:themeFill="text1"/>
      </w:tcPr>
    </w:tblStylePr>
    <w:tblStylePr w:type="firstRow">
      <w:rPr>
        <w:b/>
        <w:sz w:val="22"/>
      </w:rPr>
      <w:tblPr/>
      <w:tcPr>
        <w:shd w:val="clear" w:color="000000" w:fill="000000" w:themeFill="text1"/>
      </w:tcPr>
    </w:tblStylePr>
    <w:tblStylePr w:type="lastCol">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style>
  <w:style w:type="table" w:customStyle="1" w:styleId="986">
    <w:name w:val="Grid Table 5 Dark- Accent 1"/>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AEC4E0" w:fill="AEC4E0" w:themeFill="accent1" w:themeFillTint="75"/>
      </w:tcPr>
    </w:tblStylePr>
    <w:tblStylePr w:type="band1Vert">
      <w:tblPr/>
      <w:tcPr>
        <w:shd w:val="clear" w:color="AEC4E0" w:fill="AEC4E0" w:themeFill="accent1" w:themeFillTint="75"/>
      </w:tcPr>
    </w:tblStylePr>
    <w:tblStylePr w:type="firstCol">
      <w:rPr>
        <w:b/>
        <w:sz w:val="22"/>
      </w:rPr>
      <w:tblPr/>
      <w:tcPr>
        <w:shd w:val="clear" w:color="4F81BD" w:fill="4F81BD" w:themeFill="accent1"/>
      </w:tcPr>
    </w:tblStylePr>
    <w:tblStylePr w:type="firstRow">
      <w:rPr>
        <w:b/>
        <w:sz w:val="22"/>
      </w:rPr>
      <w:tblPr/>
      <w:tcPr>
        <w:shd w:val="clear" w:color="4F81BD" w:fill="4F81BD" w:themeFill="accent1"/>
      </w:tcPr>
    </w:tblStylePr>
    <w:tblStylePr w:type="lastCol">
      <w:rPr>
        <w:b/>
        <w:sz w:val="22"/>
      </w:rPr>
      <w:tblPr/>
      <w:tcPr>
        <w:shd w:val="clear" w:color="4F81BD" w:fill="4F81BD" w:themeFill="accent1"/>
      </w:tcPr>
    </w:tblStylePr>
    <w:tblStylePr w:type="lastRow">
      <w:rPr>
        <w:b/>
        <w:sz w:val="22"/>
      </w:rPr>
      <w:tblPr/>
      <w:tcPr>
        <w:tcBorders>
          <w:top w:val="single" w:color="FFFFFF" w:themeColor="light1" w:sz="4" w:space="0"/>
        </w:tcBorders>
        <w:shd w:val="clear" w:color="4F81BD" w:fill="4F81BD" w:themeFill="accent1"/>
      </w:tcPr>
    </w:tblStylePr>
  </w:style>
  <w:style w:type="table" w:customStyle="1" w:styleId="987">
    <w:name w:val="Grid Table 5 Dark - Accent 2"/>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E2AEAD" w:fill="E2AEAD" w:themeFill="accent2" w:themeFillTint="75"/>
      </w:tcPr>
    </w:tblStylePr>
    <w:tblStylePr w:type="band1Vert">
      <w:tblPr/>
      <w:tcPr>
        <w:shd w:val="clear" w:color="E2AEAD" w:fill="E2AEAD" w:themeFill="accent2" w:themeFillTint="75"/>
      </w:tcPr>
    </w:tblStylePr>
    <w:tblStylePr w:type="firstCol">
      <w:rPr>
        <w:b/>
        <w:sz w:val="22"/>
      </w:rPr>
      <w:tblPr/>
      <w:tcPr>
        <w:shd w:val="clear" w:color="C0504D" w:fill="C0504D" w:themeFill="accent2"/>
      </w:tcPr>
    </w:tblStylePr>
    <w:tblStylePr w:type="firstRow">
      <w:rPr>
        <w:b/>
        <w:sz w:val="22"/>
      </w:rPr>
      <w:tblPr/>
      <w:tcPr>
        <w:shd w:val="clear" w:color="C0504D" w:fill="C0504D" w:themeFill="accent2"/>
      </w:tcPr>
    </w:tblStylePr>
    <w:tblStylePr w:type="lastCol">
      <w:rPr>
        <w:b/>
        <w:sz w:val="22"/>
      </w:rPr>
      <w:tblPr/>
      <w:tcPr>
        <w:shd w:val="clear" w:color="C0504D" w:fill="C0504D" w:themeFill="accent2"/>
      </w:tcPr>
    </w:tblStylePr>
    <w:tblStylePr w:type="lastRow">
      <w:rPr>
        <w:b/>
        <w:sz w:val="22"/>
      </w:rPr>
      <w:tblPr/>
      <w:tcPr>
        <w:tcBorders>
          <w:top w:val="single" w:color="FFFFFF" w:themeColor="light1" w:sz="4" w:space="0"/>
        </w:tcBorders>
        <w:shd w:val="clear" w:color="C0504D" w:fill="C0504D" w:themeFill="accent2"/>
      </w:tcPr>
    </w:tblStylePr>
  </w:style>
  <w:style w:type="table" w:customStyle="1" w:styleId="988">
    <w:name w:val="Grid Table 5 Dark - Accent 3"/>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D0DFB2" w:fill="D0DFB2" w:themeFill="accent3" w:themeFillTint="75"/>
      </w:tcPr>
    </w:tblStylePr>
    <w:tblStylePr w:type="band1Vert">
      <w:tblPr/>
      <w:tcPr>
        <w:shd w:val="clear" w:color="D0DFB2" w:fill="D0DFB2" w:themeFill="accent3" w:themeFillTint="75"/>
      </w:tcPr>
    </w:tblStylePr>
    <w:tblStylePr w:type="firstCol">
      <w:rPr>
        <w:b/>
        <w:sz w:val="22"/>
      </w:rPr>
      <w:tblPr/>
      <w:tcPr>
        <w:shd w:val="clear" w:color="9BBB59" w:fill="9BBB59" w:themeFill="accent3"/>
      </w:tcPr>
    </w:tblStylePr>
    <w:tblStylePr w:type="firstRow">
      <w:rPr>
        <w:b/>
        <w:sz w:val="22"/>
      </w:rPr>
      <w:tblPr/>
      <w:tcPr>
        <w:shd w:val="clear" w:color="9BBB59" w:fill="9BBB59" w:themeFill="accent3"/>
      </w:tcPr>
    </w:tblStylePr>
    <w:tblStylePr w:type="lastCol">
      <w:rPr>
        <w:b/>
        <w:sz w:val="22"/>
      </w:rPr>
      <w:tblPr/>
      <w:tcPr>
        <w:shd w:val="clear" w:color="9BBB59" w:fill="9BBB59" w:themeFill="accent3"/>
      </w:tcPr>
    </w:tblStylePr>
    <w:tblStylePr w:type="lastRow">
      <w:rPr>
        <w:b/>
        <w:sz w:val="22"/>
      </w:rPr>
      <w:tblPr/>
      <w:tcPr>
        <w:tcBorders>
          <w:top w:val="single" w:color="FFFFFF" w:themeColor="light1" w:sz="4" w:space="0"/>
        </w:tcBorders>
        <w:shd w:val="clear" w:color="9BBB59" w:fill="9BBB59" w:themeFill="accent3"/>
      </w:tcPr>
    </w:tblStylePr>
  </w:style>
  <w:style w:type="table" w:customStyle="1" w:styleId="989">
    <w:name w:val="Grid Table 5 Dark- Accent 4"/>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C4B7D4" w:fill="C4B7D4" w:themeFill="accent4" w:themeFillTint="75"/>
      </w:tcPr>
    </w:tblStylePr>
    <w:tblStylePr w:type="band1Vert">
      <w:tblPr/>
      <w:tcPr>
        <w:shd w:val="clear" w:color="C4B7D4" w:fill="C4B7D4" w:themeFill="accent4" w:themeFillTint="75"/>
      </w:tcPr>
    </w:tblStylePr>
    <w:tblStylePr w:type="firstCol">
      <w:rPr>
        <w:b/>
        <w:sz w:val="22"/>
      </w:rPr>
      <w:tblPr/>
      <w:tcPr>
        <w:shd w:val="clear" w:color="8064A2" w:fill="8064A2" w:themeFill="accent4"/>
      </w:tcPr>
    </w:tblStylePr>
    <w:tblStylePr w:type="firstRow">
      <w:rPr>
        <w:b/>
        <w:sz w:val="22"/>
      </w:rPr>
      <w:tblPr/>
      <w:tcPr>
        <w:shd w:val="clear" w:color="8064A2" w:fill="8064A2" w:themeFill="accent4"/>
      </w:tcPr>
    </w:tblStylePr>
    <w:tblStylePr w:type="lastCol">
      <w:rPr>
        <w:b/>
        <w:sz w:val="22"/>
      </w:rPr>
      <w:tblPr/>
      <w:tcPr>
        <w:shd w:val="clear" w:color="8064A2" w:fill="8064A2" w:themeFill="accent4"/>
      </w:tcPr>
    </w:tblStylePr>
    <w:tblStylePr w:type="lastRow">
      <w:rPr>
        <w:b/>
        <w:sz w:val="22"/>
      </w:rPr>
      <w:tblPr/>
      <w:tcPr>
        <w:tcBorders>
          <w:top w:val="single" w:color="FFFFFF" w:themeColor="light1" w:sz="4" w:space="0"/>
        </w:tcBorders>
        <w:shd w:val="clear" w:color="8064A2" w:fill="8064A2" w:themeFill="accent4"/>
      </w:tcPr>
    </w:tblStylePr>
  </w:style>
  <w:style w:type="table" w:customStyle="1" w:styleId="990">
    <w:name w:val="Grid Table 5 Dark - Accent 5"/>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ACD8E4" w:fill="ACD8E4" w:themeFill="accent5" w:themeFillTint="75"/>
      </w:tcPr>
    </w:tblStylePr>
    <w:tblStylePr w:type="band1Vert">
      <w:tblPr/>
      <w:tcPr>
        <w:shd w:val="clear" w:color="ACD8E4" w:fill="ACD8E4" w:themeFill="accent5" w:themeFillTint="75"/>
      </w:tcPr>
    </w:tblStylePr>
    <w:tblStylePr w:type="firstCol">
      <w:rPr>
        <w:b/>
        <w:sz w:val="22"/>
      </w:rPr>
      <w:tblPr/>
      <w:tcPr>
        <w:shd w:val="clear" w:color="4BACC6" w:fill="4BACC6" w:themeFill="accent5"/>
      </w:tcPr>
    </w:tblStylePr>
    <w:tblStylePr w:type="firstRow">
      <w:rPr>
        <w:b/>
        <w:sz w:val="22"/>
      </w:rPr>
      <w:tblPr/>
      <w:tcPr>
        <w:shd w:val="clear" w:color="4BACC6" w:fill="4BACC6" w:themeFill="accent5"/>
      </w:tcPr>
    </w:tblStylePr>
    <w:tblStylePr w:type="lastCol">
      <w:rPr>
        <w:b/>
        <w:sz w:val="22"/>
      </w:rPr>
      <w:tblPr/>
      <w:tcPr>
        <w:shd w:val="clear" w:color="4BACC6" w:fill="4BACC6" w:themeFill="accent5"/>
      </w:tcPr>
    </w:tblStylePr>
    <w:tblStylePr w:type="lastRow">
      <w:rPr>
        <w:b/>
        <w:sz w:val="22"/>
      </w:rPr>
      <w:tblPr/>
      <w:tcPr>
        <w:tcBorders>
          <w:top w:val="single" w:color="FFFFFF" w:themeColor="light1" w:sz="4" w:space="0"/>
        </w:tcBorders>
        <w:shd w:val="clear" w:color="4BACC6" w:fill="4BACC6" w:themeFill="accent5"/>
      </w:tcPr>
    </w:tblStylePr>
  </w:style>
  <w:style w:type="table" w:customStyle="1" w:styleId="991">
    <w:name w:val="Grid Table 5 Dark - Accent 6"/>
    <w:basedOn w:val="950"/>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FBCEAA" w:fill="FBCEAA" w:themeFill="accent6" w:themeFillTint="75"/>
      </w:tcPr>
    </w:tblStylePr>
    <w:tblStylePr w:type="band1Vert">
      <w:tblPr/>
      <w:tcPr>
        <w:shd w:val="clear" w:color="FBCEAA" w:fill="FBCEAA" w:themeFill="accent6" w:themeFillTint="75"/>
      </w:tcPr>
    </w:tblStylePr>
    <w:tblStylePr w:type="firstCol">
      <w:rPr>
        <w:b/>
        <w:sz w:val="22"/>
      </w:rPr>
      <w:tblPr/>
      <w:tcPr>
        <w:shd w:val="clear" w:color="F79646" w:fill="F79646" w:themeFill="accent6"/>
      </w:tcPr>
    </w:tblStylePr>
    <w:tblStylePr w:type="firstRow">
      <w:rPr>
        <w:b/>
        <w:sz w:val="22"/>
      </w:rPr>
      <w:tblPr/>
      <w:tcPr>
        <w:shd w:val="clear" w:color="F79646" w:fill="F79646" w:themeFill="accent6"/>
      </w:tcPr>
    </w:tblStylePr>
    <w:tblStylePr w:type="lastCol">
      <w:rPr>
        <w:b/>
        <w:sz w:val="22"/>
      </w:rPr>
      <w:tblPr/>
      <w:tcPr>
        <w:shd w:val="clear" w:color="F79646" w:fill="F79646" w:themeFill="accent6"/>
      </w:tcPr>
    </w:tblStylePr>
    <w:tblStylePr w:type="lastRow">
      <w:rPr>
        <w:b/>
        <w:sz w:val="22"/>
      </w:rPr>
      <w:tblPr/>
      <w:tcPr>
        <w:tcBorders>
          <w:top w:val="single" w:color="FFFFFF" w:themeColor="light1" w:sz="4" w:space="0"/>
        </w:tcBorders>
        <w:shd w:val="clear" w:color="F79646" w:fill="F79646" w:themeFill="accent6"/>
      </w:tcPr>
    </w:tblStylePr>
  </w:style>
  <w:style w:type="table" w:customStyle="1" w:styleId="992">
    <w:name w:val="Grid Table 6 Colorful"/>
    <w:basedOn w:val="950"/>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color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themeColor="text1" w:themeTint="80" w:themeShade="95"/>
        <w:sz w:val="22"/>
      </w:rPr>
      <w:tblPr/>
    </w:tblStylePr>
    <w:tblStylePr w:type="firstCol">
      <w:rPr>
        <w:b/>
        <w:color w:themeColor="text1" w:themeTint="80" w:themeShade="95"/>
      </w:rPr>
      <w:tblPr/>
    </w:tblStylePr>
    <w:tblStylePr w:type="firstRow">
      <w:rPr>
        <w:b/>
        <w:color w:themeColor="text1" w:themeTint="80" w:themeShade="95"/>
      </w:rPr>
      <w:tblPr/>
      <w:tcPr>
        <w:tcBorders>
          <w:bottom w:val="single" w:color="7F7F7F" w:themeColor="text1" w:sz="12" w:space="0"/>
        </w:tcBorders>
      </w:tcPr>
    </w:tblStylePr>
    <w:tblStylePr w:type="lastCol">
      <w:rPr>
        <w:b/>
        <w:color w:themeColor="text1" w:themeTint="80" w:themeShade="95"/>
      </w:rPr>
      <w:tblPr/>
    </w:tblStylePr>
    <w:tblStylePr w:type="lastRow">
      <w:rPr>
        <w:b/>
        <w:color w:themeColor="text1" w:themeTint="80" w:themeShade="95"/>
      </w:rPr>
      <w:tblPr/>
    </w:tblStylePr>
  </w:style>
  <w:style w:type="table" w:customStyle="1" w:styleId="993">
    <w:name w:val="Grid Table 6 Colorful - Accent 1"/>
    <w:basedOn w:val="950"/>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color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themeColor="accent1" w:themeTint="80" w:themeShade="95"/>
        <w:sz w:val="22"/>
      </w:rPr>
      <w:tblPr/>
    </w:tblStylePr>
    <w:tblStylePr w:type="firstCol">
      <w:rPr>
        <w:b/>
        <w:color w:themeColor="accent1" w:themeTint="80" w:themeShade="95"/>
      </w:rPr>
      <w:tblPr/>
    </w:tblStylePr>
    <w:tblStylePr w:type="firstRow">
      <w:rPr>
        <w:b/>
        <w:color w:themeColor="accent1" w:themeTint="80" w:themeShade="95"/>
      </w:rPr>
      <w:tblPr/>
      <w:tcPr>
        <w:tcBorders>
          <w:bottom w:val="single" w:color="A6BFDD" w:themeColor="accent1" w:sz="12" w:space="0"/>
        </w:tcBorders>
      </w:tcPr>
    </w:tblStylePr>
    <w:tblStylePr w:type="lastCol">
      <w:rPr>
        <w:b/>
        <w:color w:themeColor="accent1" w:themeTint="80" w:themeShade="95"/>
      </w:rPr>
      <w:tblPr/>
    </w:tblStylePr>
    <w:tblStylePr w:type="lastRow">
      <w:rPr>
        <w:b/>
        <w:color w:themeColor="accent1" w:themeTint="80" w:themeShade="95"/>
      </w:rPr>
      <w:tblPr/>
    </w:tblStylePr>
  </w:style>
  <w:style w:type="table" w:customStyle="1" w:styleId="994">
    <w:name w:val="Grid Table 6 Colorful - Accent 2"/>
    <w:basedOn w:val="950"/>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themeColor="accent2" w:themeTint="97" w:themeShade="95"/>
        <w:sz w:val="22"/>
      </w:rPr>
      <w:tblPr/>
    </w:tblStylePr>
    <w:tblStylePr w:type="firstCol">
      <w:rPr>
        <w:b/>
        <w:color w:themeColor="accent2" w:themeTint="97" w:themeShade="95"/>
      </w:rPr>
      <w:tblPr/>
    </w:tblStylePr>
    <w:tblStylePr w:type="firstRow">
      <w:rPr>
        <w:b/>
        <w:color w:themeColor="accent2" w:themeTint="97" w:themeShade="95"/>
      </w:rPr>
      <w:tblPr/>
      <w:tcPr>
        <w:tcBorders>
          <w:bottom w:val="single" w:color="D99695" w:themeColor="accent2" w:sz="12" w:space="0"/>
        </w:tcBorders>
      </w:tcPr>
    </w:tblStylePr>
    <w:tblStylePr w:type="lastCol">
      <w:rPr>
        <w:b/>
        <w:color w:themeColor="accent2" w:themeTint="97" w:themeShade="95"/>
      </w:rPr>
      <w:tblPr/>
    </w:tblStylePr>
    <w:tblStylePr w:type="lastRow">
      <w:rPr>
        <w:b/>
        <w:color w:themeColor="accent2" w:themeTint="97" w:themeShade="95"/>
      </w:rPr>
      <w:tblPr/>
    </w:tblStylePr>
  </w:style>
  <w:style w:type="table" w:customStyle="1" w:styleId="995">
    <w:name w:val="Grid Table 6 Colorful - Accent 3"/>
    <w:basedOn w:val="950"/>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themeColor="accent3" w:themeTint="fe" w:themeShade="95"/>
        <w:sz w:val="22"/>
      </w:rPr>
      <w:tblPr/>
    </w:tblStylePr>
    <w:tblStylePr w:type="firstCol">
      <w:rPr>
        <w:b/>
        <w:color w:themeColor="accent3" w:themeTint="fe" w:themeShade="95"/>
      </w:rPr>
      <w:tblPr/>
    </w:tblStylePr>
    <w:tblStylePr w:type="firstRow">
      <w:rPr>
        <w:b/>
        <w:color w:themeColor="accent3" w:themeTint="fe" w:themeShade="95"/>
      </w:rPr>
      <w:tblPr/>
      <w:tcPr>
        <w:tcBorders>
          <w:bottom w:val="single" w:color="9ABB59" w:themeColor="accent3" w:sz="12" w:space="0"/>
        </w:tcBorders>
      </w:tcPr>
    </w:tblStylePr>
    <w:tblStylePr w:type="lastCol">
      <w:rPr>
        <w:b/>
        <w:color w:themeColor="accent3" w:themeTint="fe" w:themeShade="95"/>
      </w:rPr>
      <w:tblPr/>
    </w:tblStylePr>
    <w:tblStylePr w:type="lastRow">
      <w:rPr>
        <w:b/>
        <w:color w:themeColor="accent3" w:themeTint="fe" w:themeShade="95"/>
      </w:rPr>
      <w:tblPr/>
    </w:tblStylePr>
  </w:style>
  <w:style w:type="table" w:customStyle="1" w:styleId="996">
    <w:name w:val="Grid Table 6 Colorful - Accent 4"/>
    <w:basedOn w:val="950"/>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themeColor="accent4" w:themeTint="9a" w:themeShade="95"/>
        <w:sz w:val="22"/>
      </w:rPr>
      <w:tblPr/>
    </w:tblStylePr>
    <w:tblStylePr w:type="firstCol">
      <w:rPr>
        <w:b/>
        <w:color w:themeColor="accent4" w:themeTint="9a" w:themeShade="95"/>
      </w:rPr>
      <w:tblPr/>
    </w:tblStylePr>
    <w:tblStylePr w:type="firstRow">
      <w:rPr>
        <w:b/>
        <w:color w:themeColor="accent4" w:themeTint="9a" w:themeShade="95"/>
      </w:rPr>
      <w:tblPr/>
      <w:tcPr>
        <w:tcBorders>
          <w:bottom w:val="single" w:color="B2A1C6" w:themeColor="accent4" w:sz="12" w:space="0"/>
        </w:tcBorders>
      </w:tcPr>
    </w:tblStylePr>
    <w:tblStylePr w:type="lastCol">
      <w:rPr>
        <w:b/>
        <w:color w:themeColor="accent4" w:themeTint="9a" w:themeShade="95"/>
      </w:rPr>
      <w:tblPr/>
    </w:tblStylePr>
    <w:tblStylePr w:type="lastRow">
      <w:rPr>
        <w:b/>
        <w:color w:themeColor="accent4" w:themeTint="9a" w:themeShade="95"/>
      </w:rPr>
      <w:tblPr/>
    </w:tblStylePr>
  </w:style>
  <w:style w:type="table" w:customStyle="1" w:styleId="997">
    <w:name w:val="Grid Table 6 Colorful - Accent 5"/>
    <w:basedOn w:val="950"/>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color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themeColor="accent5" w:themeShade="95"/>
        <w:sz w:val="22"/>
      </w:rPr>
      <w:tblPr/>
    </w:tblStylePr>
    <w:tblStylePr w:type="firstCol">
      <w:rPr>
        <w:b/>
        <w:color w:themeColor="accent5" w:themeShade="95"/>
      </w:rPr>
      <w:tblPr/>
    </w:tblStylePr>
    <w:tblStylePr w:type="firstRow">
      <w:rPr>
        <w:b/>
        <w:color w:themeColor="accent5" w:themeShade="95"/>
      </w:rPr>
      <w:tblPr/>
      <w:tcPr>
        <w:tcBorders>
          <w:bottom w:val="single" w:color="4BACC6" w:themeColor="accent5" w:sz="12" w:space="0"/>
        </w:tcBorders>
      </w:tcPr>
    </w:tblStylePr>
    <w:tblStylePr w:type="lastCol">
      <w:rPr>
        <w:b/>
        <w:color w:themeColor="accent5" w:themeShade="95"/>
      </w:rPr>
      <w:tblPr/>
    </w:tblStylePr>
    <w:tblStylePr w:type="lastRow">
      <w:rPr>
        <w:b/>
        <w:color w:themeColor="accent5" w:themeShade="95"/>
      </w:rPr>
      <w:tblPr/>
    </w:tblStylePr>
  </w:style>
  <w:style w:type="table" w:customStyle="1" w:styleId="998">
    <w:name w:val="Grid Table 6 Colorful - Accent 6"/>
    <w:basedOn w:val="950"/>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color w:themeColor="accent5"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themeColor="accent5" w:themeShade="95"/>
        <w:sz w:val="22"/>
      </w:rPr>
      <w:tblPr/>
    </w:tblStylePr>
    <w:tblStylePr w:type="firstCol">
      <w:rPr>
        <w:b/>
        <w:color w:themeColor="accent5" w:themeShade="95"/>
      </w:rPr>
      <w:tblPr/>
    </w:tblStylePr>
    <w:tblStylePr w:type="firstRow">
      <w:rPr>
        <w:b/>
        <w:color w:themeColor="accent5" w:themeShade="95"/>
      </w:rPr>
      <w:tblPr/>
      <w:tcPr>
        <w:tcBorders>
          <w:bottom w:val="single" w:color="F79646" w:themeColor="accent6" w:sz="12" w:space="0"/>
        </w:tcBorders>
      </w:tcPr>
    </w:tblStylePr>
    <w:tblStylePr w:type="lastCol">
      <w:rPr>
        <w:b/>
        <w:color w:themeColor="accent5" w:themeShade="95"/>
      </w:rPr>
      <w:tblPr/>
    </w:tblStylePr>
    <w:tblStylePr w:type="lastRow">
      <w:rPr>
        <w:b/>
        <w:color w:themeColor="accent5" w:themeShade="95"/>
      </w:rPr>
      <w:tblPr/>
    </w:tblStylePr>
  </w:style>
  <w:style w:type="table" w:customStyle="1" w:styleId="999">
    <w:name w:val="Grid Table 7 Colorful"/>
    <w:basedOn w:val="950"/>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color w:themeColor="text1" w:themeTint="80" w:themeShade="95"/>
        <w:sz w:val="22"/>
      </w:rPr>
      <w:tblPr/>
      <w:tcPr>
        <w:shd w:val="clear" w:color="F2F2F2" w:fill="F2F2F2" w:themeFill="text1" w:themeFillTint="0"/>
      </w:tcPr>
    </w:tblStylePr>
    <w:tblStylePr w:type="band1Vert">
      <w:tblPr/>
      <w:tcPr>
        <w:shd w:val="clear" w:color="F2F2F2" w:fill="F2F2F2" w:themeFill="text1" w:themeFillTint="0"/>
      </w:tcPr>
    </w:tblStylePr>
    <w:tblStylePr w:type="band2Horz">
      <w:rPr>
        <w:color w:themeColor="text1" w:themeTint="80" w:themeShade="95"/>
        <w:sz w:val="22"/>
      </w:rPr>
      <w:tbl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b/>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b/>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1000">
    <w:name w:val="Grid Table 7 Colorful - Accent 1"/>
    <w:basedOn w:val="950"/>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color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themeColor="accent1" w:themeTint="80" w:themeShade="95"/>
        <w:sz w:val="22"/>
      </w:rPr>
      <w:tbl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A6BFDD" w:themeColor="accent1" w:sz="4" w:space="0"/>
        </w:tcBorders>
        <w:shd w:val="clear" w:color="FFFFFF" w:fill="auto"/>
      </w:tcPr>
    </w:tblStylePr>
    <w:tblStylePr w:type="firstRow">
      <w:rPr>
        <w:b/>
        <w:color w:themeColor="accent1" w:themeTint="80" w:themeShade="95"/>
        <w:sz w:val="22"/>
      </w:rPr>
      <w:tblPr/>
      <w:tcPr>
        <w:tcBorders>
          <w:top w:val="none" w:color="000000" w:sz="4" w:space="0"/>
          <w:left w:val="none" w:color="000000" w:sz="4" w:space="0"/>
          <w:bottom w:val="single" w:color="A6BFDD" w:themeColor="accent1" w:sz="4" w:space="0"/>
          <w:right w:val="none" w:color="000000" w:sz="4" w:space="0"/>
        </w:tcBorders>
        <w:shd w:val="clear" w:color="FFFFFF" w:fill="FFFFFF" w:themeFill="light1"/>
      </w:tcPr>
    </w:tblStylePr>
    <w:tblStylePr w:type="lastCol">
      <w:rPr>
        <w:i/>
        <w:color w:themeColor="accent1" w:themeTint="80" w:themeShade="95"/>
        <w:sz w:val="22"/>
      </w:rPr>
      <w:tblPr/>
      <w:tcPr>
        <w:tcBorders>
          <w:top w:val="none" w:color="000000" w:sz="4" w:space="0"/>
          <w:left w:val="single" w:color="A6BFDD" w:themeColor="accent1" w:sz="4" w:space="0"/>
          <w:bottom w:val="none" w:color="000000" w:sz="4" w:space="0"/>
          <w:right w:val="none" w:color="000000" w:sz="4" w:space="0"/>
        </w:tcBorders>
        <w:shd w:val="clear" w:color="FFFFFF" w:fill="auto"/>
      </w:tcPr>
    </w:tblStylePr>
    <w:tblStylePr w:type="lastRow">
      <w:rPr>
        <w:b/>
        <w:color w:themeColor="accent1" w:themeTint="80" w:themeShade="95"/>
        <w:sz w:val="22"/>
      </w:rPr>
      <w:tblPr/>
      <w:tcPr>
        <w:tcBorders>
          <w:top w:val="single" w:color="A6BFD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1001">
    <w:name w:val="Grid Table 7 Colorful - Accent 2"/>
    <w:basedOn w:val="950"/>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themeColor="accent2" w:themeTint="97" w:themeShade="95"/>
        <w:sz w:val="22"/>
      </w:rPr>
      <w:tbl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b/>
        <w:color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b/>
        <w:color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1002">
    <w:name w:val="Grid Table 7 Colorful - Accent 3"/>
    <w:basedOn w:val="950"/>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themeColor="accent3" w:themeTint="fe" w:themeShade="95"/>
        <w:sz w:val="22"/>
      </w:rPr>
      <w:tbl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9ABB59" w:themeColor="accent3" w:sz="4" w:space="0"/>
        </w:tcBorders>
        <w:shd w:val="clear" w:color="FFFFFF" w:fill="auto"/>
      </w:tcPr>
    </w:tblStylePr>
    <w:tblStylePr w:type="firstRow">
      <w:rPr>
        <w:b/>
        <w:color w:themeColor="accent3" w:themeTint="fe" w:themeShade="95"/>
        <w:sz w:val="22"/>
      </w:rPr>
      <w:tblPr/>
      <w:tcPr>
        <w:tcBorders>
          <w:top w:val="none" w:color="000000" w:sz="4" w:space="0"/>
          <w:left w:val="none" w:color="000000" w:sz="4" w:space="0"/>
          <w:bottom w:val="single" w:color="9ABB59" w:themeColor="accent3" w:sz="4" w:space="0"/>
          <w:right w:val="none" w:color="000000" w:sz="4" w:space="0"/>
        </w:tcBorders>
        <w:shd w:val="clear" w:color="FFFFFF" w:fill="FFFFFF" w:themeFill="light1"/>
      </w:tcPr>
    </w:tblStylePr>
    <w:tblStylePr w:type="lastCol">
      <w:rPr>
        <w:i/>
        <w:color w:themeColor="accent3" w:themeTint="fe" w:themeShade="95"/>
        <w:sz w:val="22"/>
      </w:rPr>
      <w:tblPr/>
      <w:tcPr>
        <w:tcBorders>
          <w:top w:val="none" w:color="000000" w:sz="4" w:space="0"/>
          <w:left w:val="single" w:color="9ABB59" w:themeColor="accent3" w:sz="4" w:space="0"/>
          <w:bottom w:val="none" w:color="000000" w:sz="4" w:space="0"/>
          <w:right w:val="none" w:color="000000" w:sz="4" w:space="0"/>
        </w:tcBorders>
        <w:shd w:val="clear" w:color="FFFFFF" w:fill="auto"/>
      </w:tcPr>
    </w:tblStylePr>
    <w:tblStylePr w:type="lastRow">
      <w:rPr>
        <w:b/>
        <w:color w:themeColor="accent3" w:themeTint="fe" w:themeShade="95"/>
        <w:sz w:val="22"/>
      </w:rPr>
      <w:tblPr/>
      <w:tcPr>
        <w:tcBorders>
          <w:top w:val="single" w:color="9ABB59"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1003">
    <w:name w:val="Grid Table 7 Colorful - Accent 4"/>
    <w:basedOn w:val="950"/>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themeColor="accent4" w:themeTint="9a" w:themeShade="95"/>
        <w:sz w:val="22"/>
      </w:rPr>
      <w:tbl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b/>
        <w:color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b/>
        <w:color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1004">
    <w:name w:val="Grid Table 7 Colorful - Accent 5"/>
    <w:basedOn w:val="950"/>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color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themeColor="accent5" w:themeShade="95"/>
        <w:sz w:val="22"/>
      </w:rPr>
      <w:tbl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99D0DE" w:themeColor="accent5" w:sz="4" w:space="0"/>
        </w:tcBorders>
        <w:shd w:val="clear" w:color="FFFFFF" w:fill="auto"/>
      </w:tcPr>
    </w:tblStylePr>
    <w:tblStylePr w:type="firstRow">
      <w:rPr>
        <w:b/>
        <w:color w:themeColor="accent5" w:themeShade="95"/>
        <w:sz w:val="22"/>
      </w:rPr>
      <w:tblPr/>
      <w:tcPr>
        <w:tcBorders>
          <w:top w:val="none" w:color="000000" w:sz="4" w:space="0"/>
          <w:left w:val="none" w:color="000000" w:sz="4" w:space="0"/>
          <w:bottom w:val="single" w:color="99D0DE" w:themeColor="accent5" w:sz="4" w:space="0"/>
          <w:right w:val="none" w:color="000000" w:sz="4" w:space="0"/>
        </w:tcBorders>
        <w:shd w:val="clear" w:color="FFFFFF" w:fill="FFFFFF" w:themeFill="light1"/>
      </w:tcPr>
    </w:tblStylePr>
    <w:tblStylePr w:type="lastCol">
      <w:rPr>
        <w:i/>
        <w:color w:themeColor="accent5" w:themeShade="95"/>
        <w:sz w:val="22"/>
      </w:rPr>
      <w:tblPr/>
      <w:tcPr>
        <w:tcBorders>
          <w:top w:val="none" w:color="000000" w:sz="4" w:space="0"/>
          <w:left w:val="single" w:color="99D0DE" w:themeColor="accent5" w:sz="4" w:space="0"/>
          <w:bottom w:val="none" w:color="000000" w:sz="4" w:space="0"/>
          <w:right w:val="none" w:color="000000" w:sz="4" w:space="0"/>
        </w:tcBorders>
        <w:shd w:val="clear" w:color="FFFFFF" w:fill="auto"/>
      </w:tcPr>
    </w:tblStylePr>
    <w:tblStylePr w:type="lastRow">
      <w:rPr>
        <w:b/>
        <w:color w:themeColor="accent5" w:themeShade="95"/>
        <w:sz w:val="22"/>
      </w:rPr>
      <w:tblPr/>
      <w:tcPr>
        <w:tcBorders>
          <w:top w:val="single" w:color="99D0DE"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1005">
    <w:name w:val="Grid Table 7 Colorful - Accent 6"/>
    <w:basedOn w:val="950"/>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color w:themeColor="accent6"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themeColor="accent6" w:themeShade="95"/>
        <w:sz w:val="22"/>
      </w:rPr>
      <w:tbl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FAC396" w:themeColor="accent6" w:sz="4" w:space="0"/>
        </w:tcBorders>
        <w:shd w:val="clear" w:color="FFFFFF" w:fill="auto"/>
      </w:tcPr>
    </w:tblStylePr>
    <w:tblStylePr w:type="firstRow">
      <w:rPr>
        <w:b/>
        <w:color w:themeColor="accent6" w:themeShade="95"/>
        <w:sz w:val="22"/>
      </w:rPr>
      <w:tblPr/>
      <w:tcPr>
        <w:tcBorders>
          <w:top w:val="none" w:color="000000" w:sz="4" w:space="0"/>
          <w:left w:val="none" w:color="000000" w:sz="4" w:space="0"/>
          <w:bottom w:val="single" w:color="FAC396" w:themeColor="accent6" w:sz="4" w:space="0"/>
          <w:right w:val="none" w:color="000000" w:sz="4" w:space="0"/>
        </w:tcBorders>
        <w:shd w:val="clear" w:color="FFFFFF" w:fill="FFFFFF" w:themeFill="light1"/>
      </w:tcPr>
    </w:tblStylePr>
    <w:tblStylePr w:type="lastCol">
      <w:rPr>
        <w:i/>
        <w:color w:themeColor="accent6" w:themeShade="95"/>
        <w:sz w:val="22"/>
      </w:rPr>
      <w:tblPr/>
      <w:tcPr>
        <w:tcBorders>
          <w:top w:val="none" w:color="000000" w:sz="4" w:space="0"/>
          <w:left w:val="single" w:color="FAC396" w:themeColor="accent6" w:sz="4" w:space="0"/>
          <w:bottom w:val="none" w:color="000000" w:sz="4" w:space="0"/>
          <w:right w:val="none" w:color="000000" w:sz="4" w:space="0"/>
        </w:tcBorders>
        <w:shd w:val="clear" w:color="FFFFFF" w:fill="auto"/>
      </w:tcPr>
    </w:tblStylePr>
    <w:tblStylePr w:type="lastRow">
      <w:rPr>
        <w:b/>
        <w:color w:themeColor="accent6" w:themeShade="95"/>
        <w:sz w:val="22"/>
      </w:rPr>
      <w:tblPr/>
      <w:tcPr>
        <w:tcBorders>
          <w:top w:val="single" w:color="FAC396"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1006">
    <w:name w:val="List Table 1 Light"/>
    <w:basedOn w:val="950"/>
    <w:uiPriority w:val="99"/>
    <w:tblPr>
      <w:tblStyleRowBandSize w:val="1"/>
      <w:tblStyleColBandSize w:val="1"/>
      <w:tblCellMar>
        <w:left w:w="108" w:type="dxa"/>
        <w:top w:w="0" w:type="dxa"/>
        <w:right w:w="108" w:type="dxa"/>
        <w:bottom w:w="0" w:type="dxa"/>
      </w:tblCellMar>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1007">
    <w:name w:val="List Table 1 Light - Accent 1"/>
    <w:basedOn w:val="950"/>
    <w:uiPriority w:val="99"/>
    <w:tblPr>
      <w:tblStyleRowBandSize w:val="1"/>
      <w:tblStyleColBandSize w:val="1"/>
      <w:tblCellMar>
        <w:left w:w="108" w:type="dxa"/>
        <w:top w:w="0" w:type="dxa"/>
        <w:right w:w="108" w:type="dxa"/>
        <w:bottom w:w="0" w:type="dxa"/>
      </w:tblCellMar>
    </w:tblPr>
    <w:tblStylePr w:type="band1Horz">
      <w:tblPr/>
      <w:tcPr>
        <w:shd w:val="clear" w:color="D2DFEE" w:fill="D2DFEE" w:themeFill="accent1" w:themeFillTint="40"/>
      </w:tcPr>
    </w:tblStylePr>
    <w:tblStylePr w:type="band1Vert">
      <w:tblPr/>
      <w:tcPr>
        <w:shd w:val="clear" w:color="D2DFEE" w:fill="D2DFEE" w:themeFill="accent1" w:themeFillTint="40"/>
      </w:tcPr>
    </w:tblStylePr>
    <w:tblStylePr w:type="firstCol">
      <w:rPr>
        <w:b/>
      </w:rPr>
      <w:tblPr/>
    </w:tblStylePr>
    <w:tblStylePr w:type="firstRow">
      <w:rPr>
        <w:b/>
      </w:rPr>
      <w:tblPr/>
      <w:tcPr>
        <w:tcBorders>
          <w:top w:val="none" w:color="000000" w:sz="4" w:space="0"/>
          <w:left w:val="none" w:color="000000" w:sz="4" w:space="0"/>
          <w:bottom w:val="single" w:color="4F81BD" w:themeColor="accent1" w:sz="4" w:space="0"/>
          <w:right w:val="none" w:color="000000" w:sz="4" w:space="0"/>
        </w:tcBorders>
      </w:tcPr>
    </w:tblStylePr>
    <w:tblStylePr w:type="lastCol">
      <w:rPr>
        <w:b/>
      </w:rPr>
      <w:tblPr/>
    </w:tblStylePr>
    <w:tblStylePr w:type="lastRow">
      <w:rPr>
        <w:b/>
      </w:rPr>
      <w:tblPr/>
      <w:tcPr>
        <w:tcBorders>
          <w:top w:val="single" w:color="4F81BD" w:themeColor="accent1" w:sz="4" w:space="0"/>
          <w:left w:val="none" w:color="000000" w:sz="4" w:space="0"/>
          <w:bottom w:val="none" w:color="000000" w:sz="4" w:space="0"/>
          <w:right w:val="none" w:color="000000" w:sz="4" w:space="0"/>
        </w:tcBorders>
      </w:tcPr>
    </w:tblStylePr>
  </w:style>
  <w:style w:type="table" w:customStyle="1" w:styleId="1008">
    <w:name w:val="List Table 1 Light - Accent 2"/>
    <w:basedOn w:val="950"/>
    <w:uiPriority w:val="99"/>
    <w:tblPr>
      <w:tblStyleRowBandSize w:val="1"/>
      <w:tblStyleColBandSize w:val="1"/>
      <w:tblCellMar>
        <w:left w:w="108" w:type="dxa"/>
        <w:top w:w="0" w:type="dxa"/>
        <w:right w:w="108" w:type="dxa"/>
        <w:bottom w:w="0" w:type="dxa"/>
      </w:tblCellMar>
    </w:tblPr>
    <w:tblStylePr w:type="band1Horz">
      <w:tblPr/>
      <w:tcPr>
        <w:shd w:val="clear" w:color="EFD2D2" w:fill="EFD2D2" w:themeFill="accent2" w:themeFillTint="40"/>
      </w:tcPr>
    </w:tblStylePr>
    <w:tblStylePr w:type="band1Vert">
      <w:tblPr/>
      <w:tcPr>
        <w:shd w:val="clear" w:color="EFD2D2" w:fill="EFD2D2" w:themeFill="accent2" w:themeFillTint="40"/>
      </w:tcPr>
    </w:tblStylePr>
    <w:tblStylePr w:type="firstCol">
      <w:rPr>
        <w:b/>
      </w:rPr>
      <w:tblPr/>
    </w:tblStylePr>
    <w:tblStylePr w:type="firstRow">
      <w:rPr>
        <w:b/>
      </w:rPr>
      <w:tblPr/>
      <w:tcPr>
        <w:tcBorders>
          <w:top w:val="none" w:color="000000" w:sz="4" w:space="0"/>
          <w:left w:val="none" w:color="000000" w:sz="4" w:space="0"/>
          <w:bottom w:val="single" w:color="C0504D" w:themeColor="accent2" w:sz="4" w:space="0"/>
          <w:right w:val="none" w:color="000000" w:sz="4" w:space="0"/>
        </w:tcBorders>
      </w:tcPr>
    </w:tblStylePr>
    <w:tblStylePr w:type="lastCol">
      <w:rPr>
        <w:b/>
      </w:rPr>
      <w:tblPr/>
    </w:tblStylePr>
    <w:tblStylePr w:type="lastRow">
      <w:rPr>
        <w:b/>
      </w:rPr>
      <w:tblPr/>
      <w:tcPr>
        <w:tcBorders>
          <w:top w:val="single" w:color="C0504D" w:themeColor="accent2" w:sz="4" w:space="0"/>
          <w:left w:val="none" w:color="000000" w:sz="4" w:space="0"/>
          <w:bottom w:val="none" w:color="000000" w:sz="4" w:space="0"/>
          <w:right w:val="none" w:color="000000" w:sz="4" w:space="0"/>
        </w:tcBorders>
      </w:tcPr>
    </w:tblStylePr>
  </w:style>
  <w:style w:type="table" w:customStyle="1" w:styleId="1009">
    <w:name w:val="List Table 1 Light - Accent 3"/>
    <w:basedOn w:val="950"/>
    <w:uiPriority w:val="99"/>
    <w:tblPr>
      <w:tblStyleRowBandSize w:val="1"/>
      <w:tblStyleColBandSize w:val="1"/>
      <w:tblCellMar>
        <w:left w:w="108" w:type="dxa"/>
        <w:top w:w="0" w:type="dxa"/>
        <w:right w:w="108" w:type="dxa"/>
        <w:bottom w:w="0" w:type="dxa"/>
      </w:tblCellMar>
    </w:tblPr>
    <w:tblStylePr w:type="band1Horz">
      <w:tblPr/>
      <w:tcPr>
        <w:shd w:val="clear" w:color="E5EED5" w:fill="E5EED5" w:themeFill="accent3" w:themeFillTint="40"/>
      </w:tcPr>
    </w:tblStylePr>
    <w:tblStylePr w:type="band1Vert">
      <w:tblPr/>
      <w:tcPr>
        <w:shd w:val="clear" w:color="E5EED5" w:fill="E5EED5" w:themeFill="accent3" w:themeFillTint="40"/>
      </w:tcPr>
    </w:tblStylePr>
    <w:tblStylePr w:type="firstCol">
      <w:rPr>
        <w:b/>
      </w:rPr>
      <w:tblPr/>
    </w:tblStylePr>
    <w:tblStylePr w:type="firstRow">
      <w:rPr>
        <w:b/>
      </w:rPr>
      <w:tblPr/>
      <w:tcPr>
        <w:tcBorders>
          <w:top w:val="none" w:color="000000" w:sz="4" w:space="0"/>
          <w:left w:val="none" w:color="000000" w:sz="4" w:space="0"/>
          <w:bottom w:val="single" w:color="9BBB59" w:themeColor="accent3" w:sz="4" w:space="0"/>
          <w:right w:val="none" w:color="000000" w:sz="4" w:space="0"/>
        </w:tcBorders>
      </w:tcPr>
    </w:tblStylePr>
    <w:tblStylePr w:type="lastCol">
      <w:rPr>
        <w:b/>
      </w:rPr>
      <w:tblPr/>
    </w:tblStylePr>
    <w:tblStylePr w:type="lastRow">
      <w:rPr>
        <w:b/>
      </w:rPr>
      <w:tblPr/>
      <w:tcPr>
        <w:tcBorders>
          <w:top w:val="single" w:color="9BBB59" w:themeColor="accent3" w:sz="4" w:space="0"/>
          <w:left w:val="none" w:color="000000" w:sz="4" w:space="0"/>
          <w:bottom w:val="none" w:color="000000" w:sz="4" w:space="0"/>
          <w:right w:val="none" w:color="000000" w:sz="4" w:space="0"/>
        </w:tcBorders>
      </w:tcPr>
    </w:tblStylePr>
  </w:style>
  <w:style w:type="table" w:customStyle="1" w:styleId="1010">
    <w:name w:val="List Table 1 Light - Accent 4"/>
    <w:basedOn w:val="950"/>
    <w:uiPriority w:val="99"/>
    <w:tblPr>
      <w:tblStyleRowBandSize w:val="1"/>
      <w:tblStyleColBandSize w:val="1"/>
      <w:tblCellMar>
        <w:left w:w="108" w:type="dxa"/>
        <w:top w:w="0" w:type="dxa"/>
        <w:right w:w="108" w:type="dxa"/>
        <w:bottom w:w="0" w:type="dxa"/>
      </w:tblCellMar>
    </w:tblPr>
    <w:tblStylePr w:type="band1Horz">
      <w:tblPr/>
      <w:tcPr>
        <w:shd w:val="clear" w:color="DFD8E7" w:fill="DFD8E7" w:themeFill="accent4" w:themeFillTint="40"/>
      </w:tcPr>
    </w:tblStylePr>
    <w:tblStylePr w:type="band1Vert">
      <w:tblPr/>
      <w:tcPr>
        <w:shd w:val="clear" w:color="DFD8E7" w:fill="DFD8E7" w:themeFill="accent4" w:themeFillTint="40"/>
      </w:tcPr>
    </w:tblStylePr>
    <w:tblStylePr w:type="firstCol">
      <w:rPr>
        <w:b/>
      </w:rPr>
      <w:tblPr/>
    </w:tblStylePr>
    <w:tblStylePr w:type="firstRow">
      <w:rPr>
        <w:b/>
      </w:rPr>
      <w:tblPr/>
      <w:tcPr>
        <w:tcBorders>
          <w:top w:val="none" w:color="000000" w:sz="4" w:space="0"/>
          <w:left w:val="none" w:color="000000" w:sz="4" w:space="0"/>
          <w:bottom w:val="single" w:color="8064A2" w:themeColor="accent4" w:sz="4" w:space="0"/>
          <w:right w:val="none" w:color="000000" w:sz="4" w:space="0"/>
        </w:tcBorders>
      </w:tcPr>
    </w:tblStylePr>
    <w:tblStylePr w:type="lastCol">
      <w:rPr>
        <w:b/>
      </w:rPr>
      <w:tblPr/>
    </w:tblStylePr>
    <w:tblStylePr w:type="lastRow">
      <w:rPr>
        <w:b/>
      </w:rPr>
      <w:tblPr/>
      <w:tcPr>
        <w:tcBorders>
          <w:top w:val="single" w:color="8064A2" w:themeColor="accent4" w:sz="4" w:space="0"/>
          <w:left w:val="none" w:color="000000" w:sz="4" w:space="0"/>
          <w:bottom w:val="none" w:color="000000" w:sz="4" w:space="0"/>
          <w:right w:val="none" w:color="000000" w:sz="4" w:space="0"/>
        </w:tcBorders>
      </w:tcPr>
    </w:tblStylePr>
  </w:style>
  <w:style w:type="table" w:customStyle="1" w:styleId="1011">
    <w:name w:val="List Table 1 Light - Accent 5"/>
    <w:basedOn w:val="950"/>
    <w:uiPriority w:val="99"/>
    <w:tblPr>
      <w:tblStyleRowBandSize w:val="1"/>
      <w:tblStyleColBandSize w:val="1"/>
      <w:tblCellMar>
        <w:left w:w="108" w:type="dxa"/>
        <w:top w:w="0" w:type="dxa"/>
        <w:right w:w="108" w:type="dxa"/>
        <w:bottom w:w="0" w:type="dxa"/>
      </w:tblCellMar>
    </w:tblPr>
    <w:tblStylePr w:type="band1Horz">
      <w:tblPr/>
      <w:tcPr>
        <w:shd w:val="clear" w:color="D1EAF0" w:fill="D1EAF0" w:themeFill="accent5" w:themeFillTint="40"/>
      </w:tcPr>
    </w:tblStylePr>
    <w:tblStylePr w:type="band1Vert">
      <w:tblPr/>
      <w:tcPr>
        <w:shd w:val="clear" w:color="D1EAF0" w:fill="D1EAF0" w:themeFill="accent5" w:themeFillTint="40"/>
      </w:tcPr>
    </w:tblStylePr>
    <w:tblStylePr w:type="firstCol">
      <w:rPr>
        <w:b/>
      </w:rPr>
      <w:tblPr/>
    </w:tblStylePr>
    <w:tblStylePr w:type="firstRow">
      <w:rPr>
        <w:b/>
      </w:rPr>
      <w:tblPr/>
      <w:tcPr>
        <w:tcBorders>
          <w:top w:val="none" w:color="000000" w:sz="4" w:space="0"/>
          <w:left w:val="none" w:color="000000" w:sz="4" w:space="0"/>
          <w:bottom w:val="single" w:color="4BACC6" w:themeColor="accent5" w:sz="4" w:space="0"/>
          <w:right w:val="none" w:color="000000" w:sz="4" w:space="0"/>
        </w:tcBorders>
      </w:tcPr>
    </w:tblStylePr>
    <w:tblStylePr w:type="lastCol">
      <w:rPr>
        <w:b/>
      </w:rPr>
      <w:tblPr/>
    </w:tblStylePr>
    <w:tblStylePr w:type="lastRow">
      <w:rPr>
        <w:b/>
      </w:rPr>
      <w:tblPr/>
      <w:tcPr>
        <w:tcBorders>
          <w:top w:val="single" w:color="4BACC6" w:themeColor="accent5" w:sz="4" w:space="0"/>
          <w:left w:val="none" w:color="000000" w:sz="4" w:space="0"/>
          <w:bottom w:val="none" w:color="000000" w:sz="4" w:space="0"/>
          <w:right w:val="none" w:color="000000" w:sz="4" w:space="0"/>
        </w:tcBorders>
      </w:tcPr>
    </w:tblStylePr>
  </w:style>
  <w:style w:type="table" w:customStyle="1" w:styleId="1012">
    <w:name w:val="List Table 1 Light - Accent 6"/>
    <w:basedOn w:val="950"/>
    <w:uiPriority w:val="99"/>
    <w:tblPr>
      <w:tblStyleRowBandSize w:val="1"/>
      <w:tblStyleColBandSize w:val="1"/>
      <w:tblCellMar>
        <w:left w:w="108" w:type="dxa"/>
        <w:top w:w="0" w:type="dxa"/>
        <w:right w:w="108" w:type="dxa"/>
        <w:bottom w:w="0" w:type="dxa"/>
      </w:tblCellMar>
    </w:tblPr>
    <w:tblStylePr w:type="band1Horz">
      <w:tblPr/>
      <w:tcPr>
        <w:shd w:val="clear" w:color="FDE4D0" w:fill="FDE4D0" w:themeFill="accent6" w:themeFillTint="40"/>
      </w:tcPr>
    </w:tblStylePr>
    <w:tblStylePr w:type="band1Vert">
      <w:tblPr/>
      <w:tcPr>
        <w:shd w:val="clear" w:color="FDE4D0" w:fill="FDE4D0" w:themeFill="accent6" w:themeFillTint="40"/>
      </w:tcPr>
    </w:tblStylePr>
    <w:tblStylePr w:type="firstCol">
      <w:rPr>
        <w:b/>
      </w:rPr>
      <w:tblPr/>
    </w:tblStylePr>
    <w:tblStylePr w:type="firstRow">
      <w:rPr>
        <w:b/>
      </w:rPr>
      <w:tblPr/>
      <w:tcPr>
        <w:tcBorders>
          <w:top w:val="none" w:color="000000" w:sz="4" w:space="0"/>
          <w:left w:val="none" w:color="000000" w:sz="4" w:space="0"/>
          <w:bottom w:val="single" w:color="F79646" w:themeColor="accent6" w:sz="4" w:space="0"/>
          <w:right w:val="none" w:color="000000" w:sz="4" w:space="0"/>
        </w:tcBorders>
      </w:tcPr>
    </w:tblStylePr>
    <w:tblStylePr w:type="lastCol">
      <w:rPr>
        <w:b/>
      </w:rPr>
      <w:tblPr/>
    </w:tblStylePr>
    <w:tblStylePr w:type="lastRow">
      <w:rPr>
        <w:b/>
      </w:rPr>
      <w:tblPr/>
      <w:tcPr>
        <w:tcBorders>
          <w:top w:val="single" w:color="F79646" w:themeColor="accent6" w:sz="4" w:space="0"/>
          <w:left w:val="none" w:color="000000" w:sz="4" w:space="0"/>
          <w:bottom w:val="none" w:color="000000" w:sz="4" w:space="0"/>
          <w:right w:val="none" w:color="000000" w:sz="4" w:space="0"/>
        </w:tcBorders>
      </w:tcPr>
    </w:tblStylePr>
  </w:style>
  <w:style w:type="table" w:customStyle="1" w:styleId="1013">
    <w:name w:val="List Table 2"/>
    <w:basedOn w:val="950"/>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CellMar>
        <w:left w:w="108" w:type="dxa"/>
        <w:top w:w="0" w:type="dxa"/>
        <w:right w:w="108" w:type="dxa"/>
        <w:bottom w:w="0" w:type="dxa"/>
      </w:tblCellMar>
    </w:tblPr>
    <w:tblStylePr w:type="band1Horz">
      <w:rPr>
        <w:sz w:val="22"/>
      </w:rPr>
      <w:tblPr/>
      <w:tcPr>
        <w:shd w:val="clear" w:color="BFBFBF" w:fill="BFBFBF" w:themeFill="text1" w:themeFillTint="40"/>
      </w:tcPr>
    </w:tblStylePr>
    <w:tblStylePr w:type="band1Vert">
      <w:rPr>
        <w:sz w:val="22"/>
      </w:rPr>
      <w:tblPr/>
      <w:tcPr>
        <w:shd w:val="clear" w:color="BFBFBF" w:fill="BFBFBF" w:themeFill="text1" w:themeFillTint="40"/>
      </w:tcPr>
    </w:tblStylePr>
    <w:tblStylePr w:type="firstCol">
      <w:rPr>
        <w:b/>
        <w:sz w:val="22"/>
      </w:rPr>
      <w:tblPr/>
    </w:tblStylePr>
    <w:tblStylePr w:type="fir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sz w:val="22"/>
      </w:rPr>
      <w:tblPr/>
    </w:tblStylePr>
    <w:tblStylePr w:type="la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1014">
    <w:name w:val="List Table 2 - Accent 1"/>
    <w:basedOn w:val="950"/>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sz w:val="22"/>
      </w:rPr>
      <w:tblPr/>
      <w:tcPr>
        <w:shd w:val="clear" w:color="D2DFEE" w:fill="D2DFEE" w:themeFill="accent1" w:themeFillTint="40"/>
      </w:tcPr>
    </w:tblStylePr>
    <w:tblStylePr w:type="band1Vert">
      <w:rPr>
        <w:sz w:val="22"/>
      </w:rPr>
      <w:tblPr/>
      <w:tcPr>
        <w:shd w:val="clear" w:color="D2DFEE" w:fill="D2DFEE" w:themeFill="accent1" w:themeFillTint="40"/>
      </w:tcPr>
    </w:tblStylePr>
    <w:tblStylePr w:type="firstCol">
      <w:rPr>
        <w:b/>
        <w:sz w:val="22"/>
      </w:rPr>
      <w:tblPr/>
    </w:tblStylePr>
    <w:tblStylePr w:type="firstRow">
      <w:rPr>
        <w:b/>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Col">
      <w:rPr>
        <w:b/>
        <w:sz w:val="22"/>
      </w:rPr>
      <w:tblPr/>
    </w:tblStylePr>
    <w:tblStylePr w:type="lastRow">
      <w:rPr>
        <w:b/>
        <w:sz w:val="22"/>
      </w:rPr>
      <w:tblPr/>
      <w:tcPr>
        <w:tcBorders>
          <w:top w:val="single" w:color="9BB7D9" w:themeColor="accent1" w:sz="4" w:space="0"/>
          <w:left w:val="none" w:color="000000" w:sz="4" w:space="0"/>
          <w:bottom w:val="single" w:color="9BB7D9" w:themeColor="accent1" w:sz="4" w:space="0"/>
          <w:right w:val="none" w:color="000000" w:sz="4" w:space="0"/>
        </w:tcBorders>
      </w:tcPr>
    </w:tblStylePr>
  </w:style>
  <w:style w:type="table" w:customStyle="1" w:styleId="1015">
    <w:name w:val="List Table 2 - Accent 2"/>
    <w:basedOn w:val="950"/>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sz w:val="22"/>
      </w:rPr>
      <w:tblPr/>
      <w:tcPr>
        <w:shd w:val="clear" w:color="EFD2D2" w:fill="EFD2D2" w:themeFill="accent2" w:themeFillTint="40"/>
      </w:tcPr>
    </w:tblStylePr>
    <w:tblStylePr w:type="band1Vert">
      <w:rPr>
        <w:sz w:val="22"/>
      </w:rPr>
      <w:tblPr/>
      <w:tcPr>
        <w:shd w:val="clear" w:color="EFD2D2" w:fill="EFD2D2" w:themeFill="accent2" w:themeFillTint="40"/>
      </w:tcPr>
    </w:tblStylePr>
    <w:tblStylePr w:type="firstCol">
      <w:rPr>
        <w:b/>
        <w:sz w:val="22"/>
      </w:rPr>
      <w:tblPr/>
    </w:tblStylePr>
    <w:tblStylePr w:type="firstRow">
      <w:rPr>
        <w:b/>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Col">
      <w:rPr>
        <w:b/>
        <w:sz w:val="22"/>
      </w:rPr>
      <w:tblPr/>
    </w:tblStylePr>
    <w:tblStylePr w:type="lastRow">
      <w:rPr>
        <w:b/>
        <w:sz w:val="22"/>
      </w:rPr>
      <w:tblPr/>
      <w:tcPr>
        <w:tcBorders>
          <w:top w:val="single" w:color="DB9B9A" w:themeColor="accent2" w:sz="4" w:space="0"/>
          <w:left w:val="none" w:color="000000" w:sz="4" w:space="0"/>
          <w:bottom w:val="single" w:color="DB9B9A" w:themeColor="accent2" w:sz="4" w:space="0"/>
          <w:right w:val="none" w:color="000000" w:sz="4" w:space="0"/>
        </w:tcBorders>
      </w:tcPr>
    </w:tblStylePr>
  </w:style>
  <w:style w:type="table" w:customStyle="1" w:styleId="1016">
    <w:name w:val="List Table 2 - Accent 3"/>
    <w:basedOn w:val="950"/>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sz w:val="22"/>
      </w:rPr>
      <w:tblPr/>
      <w:tcPr>
        <w:shd w:val="clear" w:color="E5EED5" w:fill="E5EED5" w:themeFill="accent3" w:themeFillTint="40"/>
      </w:tcPr>
    </w:tblStylePr>
    <w:tblStylePr w:type="band1Vert">
      <w:rPr>
        <w:sz w:val="22"/>
      </w:rPr>
      <w:tblPr/>
      <w:tcPr>
        <w:shd w:val="clear" w:color="E5EED5" w:fill="E5EED5" w:themeFill="accent3" w:themeFillTint="40"/>
      </w:tcPr>
    </w:tblStylePr>
    <w:tblStylePr w:type="firstCol">
      <w:rPr>
        <w:b/>
        <w:sz w:val="22"/>
      </w:rPr>
      <w:tblPr/>
    </w:tblStylePr>
    <w:tblStylePr w:type="firstRow">
      <w:rPr>
        <w:b/>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Col">
      <w:rPr>
        <w:b/>
        <w:sz w:val="22"/>
      </w:rPr>
      <w:tblPr/>
    </w:tblStylePr>
    <w:tblStylePr w:type="lastRow">
      <w:rPr>
        <w:b/>
        <w:sz w:val="22"/>
      </w:rPr>
      <w:tblPr/>
      <w:tcPr>
        <w:tcBorders>
          <w:top w:val="single" w:color="C6D8A1" w:themeColor="accent3" w:sz="4" w:space="0"/>
          <w:left w:val="none" w:color="000000" w:sz="4" w:space="0"/>
          <w:bottom w:val="single" w:color="C6D8A1" w:themeColor="accent3" w:sz="4" w:space="0"/>
          <w:right w:val="none" w:color="000000" w:sz="4" w:space="0"/>
        </w:tcBorders>
      </w:tcPr>
    </w:tblStylePr>
  </w:style>
  <w:style w:type="table" w:customStyle="1" w:styleId="1017">
    <w:name w:val="List Table 2 - Accent 4"/>
    <w:basedOn w:val="950"/>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sz w:val="22"/>
      </w:rPr>
      <w:tblPr/>
      <w:tcPr>
        <w:shd w:val="clear" w:color="DFD8E7" w:fill="DFD8E7" w:themeFill="accent4" w:themeFillTint="40"/>
      </w:tcPr>
    </w:tblStylePr>
    <w:tblStylePr w:type="band1Vert">
      <w:rPr>
        <w:sz w:val="22"/>
      </w:rPr>
      <w:tblPr/>
      <w:tcPr>
        <w:shd w:val="clear" w:color="DFD8E7" w:fill="DFD8E7" w:themeFill="accent4" w:themeFillTint="40"/>
      </w:tcPr>
    </w:tblStylePr>
    <w:tblStylePr w:type="firstCol">
      <w:rPr>
        <w:b/>
        <w:sz w:val="22"/>
      </w:rPr>
      <w:tblPr/>
    </w:tblStylePr>
    <w:tblStylePr w:type="firstRow">
      <w:rPr>
        <w:b/>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Col">
      <w:rPr>
        <w:b/>
        <w:sz w:val="22"/>
      </w:rPr>
      <w:tblPr/>
    </w:tblStylePr>
    <w:tblStylePr w:type="lastRow">
      <w:rPr>
        <w:b/>
        <w:sz w:val="22"/>
      </w:rPr>
      <w:tblPr/>
      <w:tcPr>
        <w:tcBorders>
          <w:top w:val="single" w:color="B7A7CA" w:themeColor="accent4" w:sz="4" w:space="0"/>
          <w:left w:val="none" w:color="000000" w:sz="4" w:space="0"/>
          <w:bottom w:val="single" w:color="B7A7CA" w:themeColor="accent4" w:sz="4" w:space="0"/>
          <w:right w:val="none" w:color="000000" w:sz="4" w:space="0"/>
        </w:tcBorders>
      </w:tcPr>
    </w:tblStylePr>
  </w:style>
  <w:style w:type="table" w:customStyle="1" w:styleId="1018">
    <w:name w:val="List Table 2 - Accent 5"/>
    <w:basedOn w:val="950"/>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sz w:val="22"/>
      </w:rPr>
      <w:tblPr/>
      <w:tcPr>
        <w:shd w:val="clear" w:color="D1EAF0" w:fill="D1EAF0" w:themeFill="accent5" w:themeFillTint="40"/>
      </w:tcPr>
    </w:tblStylePr>
    <w:tblStylePr w:type="band1Vert">
      <w:rPr>
        <w:sz w:val="22"/>
      </w:rPr>
      <w:tblPr/>
      <w:tcPr>
        <w:shd w:val="clear" w:color="D1EAF0" w:fill="D1EAF0" w:themeFill="accent5" w:themeFillTint="40"/>
      </w:tcPr>
    </w:tblStylePr>
    <w:tblStylePr w:type="firstCol">
      <w:rPr>
        <w:b/>
        <w:sz w:val="22"/>
      </w:rPr>
      <w:tblPr/>
    </w:tblStylePr>
    <w:tblStylePr w:type="firstRow">
      <w:rPr>
        <w:b/>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Col">
      <w:rPr>
        <w:b/>
        <w:sz w:val="22"/>
      </w:rPr>
      <w:tblPr/>
    </w:tblStylePr>
    <w:tblStylePr w:type="lastRow">
      <w:rPr>
        <w:b/>
        <w:sz w:val="22"/>
      </w:rPr>
      <w:tblPr/>
      <w:tcPr>
        <w:tcBorders>
          <w:top w:val="single" w:color="99D0DE" w:themeColor="accent5" w:sz="4" w:space="0"/>
          <w:left w:val="none" w:color="000000" w:sz="4" w:space="0"/>
          <w:bottom w:val="single" w:color="99D0DE" w:themeColor="accent5" w:sz="4" w:space="0"/>
          <w:right w:val="none" w:color="000000" w:sz="4" w:space="0"/>
        </w:tcBorders>
      </w:tcPr>
    </w:tblStylePr>
  </w:style>
  <w:style w:type="table" w:customStyle="1" w:styleId="1019">
    <w:name w:val="List Table 2 - Accent 6"/>
    <w:basedOn w:val="950"/>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sz w:val="22"/>
      </w:rPr>
      <w:tblPr/>
      <w:tcPr>
        <w:shd w:val="clear" w:color="FDE4D0" w:fill="FDE4D0" w:themeFill="accent6" w:themeFillTint="40"/>
      </w:tcPr>
    </w:tblStylePr>
    <w:tblStylePr w:type="band1Vert">
      <w:rPr>
        <w:sz w:val="22"/>
      </w:rPr>
      <w:tblPr/>
      <w:tcPr>
        <w:shd w:val="clear" w:color="FDE4D0" w:fill="FDE4D0" w:themeFill="accent6" w:themeFillTint="40"/>
      </w:tcPr>
    </w:tblStylePr>
    <w:tblStylePr w:type="firstCol">
      <w:rPr>
        <w:b/>
        <w:sz w:val="22"/>
      </w:rPr>
      <w:tblPr/>
    </w:tblStylePr>
    <w:tblStylePr w:type="firstRow">
      <w:rPr>
        <w:b/>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Col">
      <w:rPr>
        <w:b/>
        <w:sz w:val="22"/>
      </w:rPr>
      <w:tblPr/>
    </w:tblStylePr>
    <w:tblStylePr w:type="lastRow">
      <w:rPr>
        <w:b/>
        <w:sz w:val="22"/>
      </w:rPr>
      <w:tblPr/>
      <w:tcPr>
        <w:tcBorders>
          <w:top w:val="single" w:color="FAC396" w:themeColor="accent6" w:sz="4" w:space="0"/>
          <w:left w:val="none" w:color="000000" w:sz="4" w:space="0"/>
          <w:bottom w:val="single" w:color="FAC396" w:themeColor="accent6" w:sz="4" w:space="0"/>
          <w:right w:val="none" w:color="000000" w:sz="4" w:space="0"/>
        </w:tcBorders>
      </w:tcPr>
    </w:tblStylePr>
  </w:style>
  <w:style w:type="table" w:customStyle="1" w:styleId="1020">
    <w:name w:val="List Table 3"/>
    <w:basedOn w:val="950"/>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108" w:type="dxa"/>
        <w:top w:w="0" w:type="dxa"/>
        <w:right w:w="108" w:type="dxa"/>
        <w:bottom w:w="0" w:type="dxa"/>
      </w:tblCellMar>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firstCol">
      <w:rPr>
        <w:b/>
      </w:rPr>
      <w:tblPr/>
    </w:tblStylePr>
    <w:tblStylePr w:type="firstRow">
      <w:rPr>
        <w:b/>
        <w:sz w:val="22"/>
      </w:rPr>
      <w:tblPr/>
      <w:tcPr>
        <w:shd w:val="clear" w:color="000000" w:fill="000000" w:themeFill="text1"/>
      </w:tcPr>
    </w:tblStylePr>
    <w:tblStylePr w:type="lastCol">
      <w:rPr>
        <w:b/>
      </w:rPr>
      <w:tblPr/>
    </w:tblStylePr>
    <w:tblStylePr w:type="lastRow">
      <w:rPr>
        <w:b/>
      </w:rPr>
      <w:tblPr/>
    </w:tblStylePr>
  </w:style>
  <w:style w:type="table" w:customStyle="1" w:styleId="1021">
    <w:name w:val="List Table 3 - Accent 1"/>
    <w:basedOn w:val="950"/>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108" w:type="dxa"/>
        <w:top w:w="0" w:type="dxa"/>
        <w:right w:w="108" w:type="dxa"/>
        <w:bottom w:w="0" w:type="dxa"/>
      </w:tblCellMar>
    </w:tblPr>
    <w:tblStylePr w:type="band1Horz">
      <w:rPr>
        <w:sz w:val="22"/>
      </w:rPr>
      <w:tblPr/>
      <w:tcPr>
        <w:tcBorders>
          <w:top w:val="single" w:color="4F81BD" w:themeColor="accent1" w:sz="4" w:space="0"/>
          <w:bottom w:val="single" w:color="4F81BD" w:themeColor="accent1" w:sz="4" w:space="0"/>
        </w:tcBorders>
      </w:tcPr>
    </w:tblStylePr>
    <w:tblStylePr w:type="band1Vert">
      <w:rPr>
        <w:sz w:val="22"/>
      </w:rPr>
      <w:tblPr/>
      <w:tcPr>
        <w:tcBorders>
          <w:left w:val="single" w:color="4F81BD" w:themeColor="accent1" w:sz="4" w:space="0"/>
          <w:right w:val="single" w:color="4F81BD" w:themeColor="accent1" w:sz="4" w:space="0"/>
        </w:tcBorders>
      </w:tcPr>
    </w:tblStylePr>
    <w:tblStylePr w:type="firstCol">
      <w:rPr>
        <w:b/>
      </w:rPr>
      <w:tblPr/>
    </w:tblStylePr>
    <w:tblStylePr w:type="firstRow">
      <w:rPr>
        <w:b/>
        <w:sz w:val="22"/>
      </w:rPr>
      <w:tblPr/>
      <w:tcPr>
        <w:shd w:val="clear" w:color="4F81BD" w:fill="4F81BD" w:themeFill="accent1"/>
      </w:tcPr>
    </w:tblStylePr>
    <w:tblStylePr w:type="lastCol">
      <w:rPr>
        <w:b/>
      </w:rPr>
      <w:tblPr/>
    </w:tblStylePr>
    <w:tblStylePr w:type="lastRow">
      <w:rPr>
        <w:b/>
      </w:rPr>
      <w:tblPr/>
    </w:tblStylePr>
  </w:style>
  <w:style w:type="table" w:customStyle="1" w:styleId="1022">
    <w:name w:val="List Table 3 - Accent 2"/>
    <w:basedOn w:val="950"/>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108" w:type="dxa"/>
        <w:top w:w="0" w:type="dxa"/>
        <w:right w:w="108" w:type="dxa"/>
        <w:bottom w:w="0" w:type="dxa"/>
      </w:tblCellMar>
    </w:tblPr>
    <w:tblStylePr w:type="band1Horz">
      <w:rPr>
        <w:sz w:val="22"/>
      </w:rPr>
      <w:tblPr/>
      <w:tcPr>
        <w:tcBorders>
          <w:top w:val="single" w:color="D99695" w:themeColor="accent2" w:sz="4" w:space="0"/>
          <w:bottom w:val="single" w:color="D99695" w:themeColor="accent2" w:sz="4" w:space="0"/>
        </w:tcBorders>
      </w:tcPr>
    </w:tblStylePr>
    <w:tblStylePr w:type="band1Vert">
      <w:rPr>
        <w:sz w:val="22"/>
      </w:rPr>
      <w:tblPr/>
      <w:tcPr>
        <w:tcBorders>
          <w:left w:val="single" w:color="D99695" w:themeColor="accent2" w:sz="4" w:space="0"/>
          <w:right w:val="single" w:color="D99695" w:themeColor="accent2" w:sz="4" w:space="0"/>
        </w:tcBorders>
      </w:tcPr>
    </w:tblStylePr>
    <w:tblStylePr w:type="firstCol">
      <w:rPr>
        <w:b/>
      </w:rPr>
      <w:tblPr/>
    </w:tblStylePr>
    <w:tblStylePr w:type="firstRow">
      <w:rPr>
        <w:b/>
        <w:sz w:val="22"/>
      </w:rPr>
      <w:tblPr/>
      <w:tcPr>
        <w:shd w:val="clear" w:color="D99695" w:fill="D99695" w:themeFill="accent2" w:themeFillTint="97"/>
      </w:tcPr>
    </w:tblStylePr>
    <w:tblStylePr w:type="lastCol">
      <w:rPr>
        <w:b/>
      </w:rPr>
      <w:tblPr/>
    </w:tblStylePr>
    <w:tblStylePr w:type="lastRow">
      <w:rPr>
        <w:b/>
      </w:rPr>
      <w:tblPr/>
    </w:tblStylePr>
  </w:style>
  <w:style w:type="table" w:customStyle="1" w:styleId="1023">
    <w:name w:val="List Table 3 - Accent 3"/>
    <w:basedOn w:val="950"/>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108" w:type="dxa"/>
        <w:top w:w="0" w:type="dxa"/>
        <w:right w:w="108" w:type="dxa"/>
        <w:bottom w:w="0" w:type="dxa"/>
      </w:tblCellMar>
    </w:tblPr>
    <w:tblStylePr w:type="band1Horz">
      <w:rPr>
        <w:sz w:val="22"/>
      </w:rPr>
      <w:tblPr/>
      <w:tcPr>
        <w:tcBorders>
          <w:top w:val="single" w:color="C3D69B" w:themeColor="accent3" w:sz="4" w:space="0"/>
          <w:bottom w:val="single" w:color="C3D69B" w:themeColor="accent3" w:sz="4" w:space="0"/>
        </w:tcBorders>
      </w:tcPr>
    </w:tblStylePr>
    <w:tblStylePr w:type="band1Vert">
      <w:rPr>
        <w:sz w:val="22"/>
      </w:rPr>
      <w:tblPr/>
      <w:tcPr>
        <w:tcBorders>
          <w:left w:val="single" w:color="C3D69B" w:themeColor="accent3" w:sz="4" w:space="0"/>
          <w:right w:val="single" w:color="C3D69B" w:themeColor="accent3" w:sz="4" w:space="0"/>
        </w:tcBorders>
      </w:tcPr>
    </w:tblStylePr>
    <w:tblStylePr w:type="firstCol">
      <w:rPr>
        <w:b/>
      </w:rPr>
      <w:tblPr/>
    </w:tblStylePr>
    <w:tblStylePr w:type="firstRow">
      <w:rPr>
        <w:b/>
        <w:sz w:val="22"/>
      </w:rPr>
      <w:tblPr/>
      <w:tcPr>
        <w:shd w:val="clear" w:color="C3D69B" w:fill="C3D69B" w:themeFill="accent3" w:themeFillTint="98"/>
      </w:tcPr>
    </w:tblStylePr>
    <w:tblStylePr w:type="lastCol">
      <w:rPr>
        <w:b/>
      </w:rPr>
      <w:tblPr/>
    </w:tblStylePr>
    <w:tblStylePr w:type="lastRow">
      <w:rPr>
        <w:b/>
      </w:rPr>
      <w:tblPr/>
    </w:tblStylePr>
  </w:style>
  <w:style w:type="table" w:customStyle="1" w:styleId="1024">
    <w:name w:val="List Table 3 - Accent 4"/>
    <w:basedOn w:val="950"/>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108" w:type="dxa"/>
        <w:top w:w="0" w:type="dxa"/>
        <w:right w:w="108" w:type="dxa"/>
        <w:bottom w:w="0" w:type="dxa"/>
      </w:tblCellMar>
    </w:tblPr>
    <w:tblStylePr w:type="band1Horz">
      <w:rPr>
        <w:sz w:val="22"/>
      </w:rPr>
      <w:tblPr/>
      <w:tcPr>
        <w:tcBorders>
          <w:top w:val="single" w:color="B2A1C6" w:themeColor="accent4" w:sz="4" w:space="0"/>
          <w:bottom w:val="single" w:color="B2A1C6" w:themeColor="accent4" w:sz="4" w:space="0"/>
        </w:tcBorders>
      </w:tcPr>
    </w:tblStylePr>
    <w:tblStylePr w:type="band1Vert">
      <w:rPr>
        <w:sz w:val="22"/>
      </w:rPr>
      <w:tblPr/>
      <w:tcPr>
        <w:tcBorders>
          <w:left w:val="single" w:color="B2A1C6" w:themeColor="accent4" w:sz="4" w:space="0"/>
          <w:right w:val="single" w:color="B2A1C6" w:themeColor="accent4" w:sz="4" w:space="0"/>
        </w:tcBorders>
      </w:tcPr>
    </w:tblStylePr>
    <w:tblStylePr w:type="firstCol">
      <w:rPr>
        <w:b/>
      </w:rPr>
      <w:tblPr/>
    </w:tblStylePr>
    <w:tblStylePr w:type="firstRow">
      <w:rPr>
        <w:b/>
        <w:sz w:val="22"/>
      </w:rPr>
      <w:tblPr/>
      <w:tcPr>
        <w:shd w:val="clear" w:color="B2A1C6" w:fill="B2A1C6" w:themeFill="accent4" w:themeFillTint="9a"/>
      </w:tcPr>
    </w:tblStylePr>
    <w:tblStylePr w:type="lastCol">
      <w:rPr>
        <w:b/>
      </w:rPr>
      <w:tblPr/>
    </w:tblStylePr>
    <w:tblStylePr w:type="lastRow">
      <w:rPr>
        <w:b/>
      </w:rPr>
      <w:tblPr/>
    </w:tblStylePr>
  </w:style>
  <w:style w:type="table" w:customStyle="1" w:styleId="1025">
    <w:name w:val="List Table 3 - Accent 5"/>
    <w:basedOn w:val="950"/>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108" w:type="dxa"/>
        <w:top w:w="0" w:type="dxa"/>
        <w:right w:w="108" w:type="dxa"/>
        <w:bottom w:w="0" w:type="dxa"/>
      </w:tblCellMar>
    </w:tblPr>
    <w:tblStylePr w:type="band1Horz">
      <w:rPr>
        <w:sz w:val="22"/>
      </w:rPr>
      <w:tblPr/>
      <w:tcPr>
        <w:tcBorders>
          <w:top w:val="single" w:color="92CCDC" w:themeColor="accent5" w:sz="4" w:space="0"/>
          <w:bottom w:val="single" w:color="92CCDC" w:themeColor="accent5" w:sz="4" w:space="0"/>
        </w:tcBorders>
      </w:tcPr>
    </w:tblStylePr>
    <w:tblStylePr w:type="band1Vert">
      <w:rPr>
        <w:sz w:val="22"/>
      </w:rPr>
      <w:tblPr/>
      <w:tcPr>
        <w:tcBorders>
          <w:left w:val="single" w:color="92CCDC" w:themeColor="accent5" w:sz="4" w:space="0"/>
          <w:right w:val="single" w:color="92CCDC" w:themeColor="accent5" w:sz="4" w:space="0"/>
        </w:tcBorders>
      </w:tcPr>
    </w:tblStylePr>
    <w:tblStylePr w:type="firstCol">
      <w:rPr>
        <w:b/>
      </w:rPr>
      <w:tblPr/>
    </w:tblStylePr>
    <w:tblStylePr w:type="firstRow">
      <w:rPr>
        <w:b/>
        <w:sz w:val="22"/>
      </w:rPr>
      <w:tblPr/>
      <w:tcPr>
        <w:shd w:val="clear" w:color="92CCDC" w:fill="92CCDC" w:themeFill="accent5" w:themeFillTint="9a"/>
      </w:tcPr>
    </w:tblStylePr>
    <w:tblStylePr w:type="lastCol">
      <w:rPr>
        <w:b/>
      </w:rPr>
      <w:tblPr/>
    </w:tblStylePr>
    <w:tblStylePr w:type="lastRow">
      <w:rPr>
        <w:b/>
      </w:rPr>
      <w:tblPr/>
    </w:tblStylePr>
  </w:style>
  <w:style w:type="table" w:customStyle="1" w:styleId="1026">
    <w:name w:val="List Table 3 - Accent 6"/>
    <w:basedOn w:val="950"/>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108" w:type="dxa"/>
        <w:top w:w="0" w:type="dxa"/>
        <w:right w:w="108" w:type="dxa"/>
        <w:bottom w:w="0" w:type="dxa"/>
      </w:tblCellMar>
    </w:tblPr>
    <w:tblStylePr w:type="band1Horz">
      <w:rPr>
        <w:sz w:val="22"/>
      </w:rPr>
      <w:tblPr/>
      <w:tcPr>
        <w:tcBorders>
          <w:top w:val="single" w:color="FAC090" w:themeColor="accent6" w:sz="4" w:space="0"/>
          <w:bottom w:val="single" w:color="FAC090" w:themeColor="accent6" w:sz="4" w:space="0"/>
        </w:tcBorders>
      </w:tcPr>
    </w:tblStylePr>
    <w:tblStylePr w:type="band1Vert">
      <w:rPr>
        <w:sz w:val="22"/>
      </w:rPr>
      <w:tblPr/>
      <w:tcPr>
        <w:tcBorders>
          <w:left w:val="single" w:color="FAC090" w:themeColor="accent6" w:sz="4" w:space="0"/>
          <w:right w:val="single" w:color="FAC090" w:themeColor="accent6" w:sz="4" w:space="0"/>
        </w:tcBorders>
      </w:tcPr>
    </w:tblStylePr>
    <w:tblStylePr w:type="firstCol">
      <w:rPr>
        <w:b/>
      </w:rPr>
      <w:tblPr/>
    </w:tblStylePr>
    <w:tblStylePr w:type="firstRow">
      <w:rPr>
        <w:b/>
        <w:sz w:val="22"/>
      </w:rPr>
      <w:tblPr/>
      <w:tcPr>
        <w:shd w:val="clear" w:color="FAC090" w:fill="FAC090" w:themeFill="accent6" w:themeFillTint="98"/>
      </w:tcPr>
    </w:tblStylePr>
    <w:tblStylePr w:type="lastCol">
      <w:rPr>
        <w:b/>
      </w:rPr>
      <w:tblPr/>
    </w:tblStylePr>
    <w:tblStylePr w:type="lastRow">
      <w:rPr>
        <w:b/>
      </w:rPr>
      <w:tblPr/>
    </w:tblStylePr>
  </w:style>
  <w:style w:type="table" w:customStyle="1" w:styleId="1027">
    <w:name w:val="List Table 4"/>
    <w:basedOn w:val="950"/>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108" w:type="dxa"/>
        <w:top w:w="0" w:type="dxa"/>
        <w:right w:w="108" w:type="dxa"/>
        <w:bottom w:w="0" w:type="dxa"/>
      </w:tblCellMar>
    </w:tblPr>
    <w:tblStylePr w:type="band1Horz">
      <w:rPr>
        <w:sz w:val="22"/>
      </w:rPr>
      <w:tblPr/>
      <w:tcPr>
        <w:shd w:val="clear" w:color="BFBFBF" w:fill="BFBFBF" w:themeFill="text1" w:themeFillTint="40"/>
      </w:tcPr>
    </w:tblStylePr>
    <w:tblStylePr w:type="band1Vert">
      <w:rPr>
        <w:sz w:val="22"/>
      </w:rPr>
      <w:tblPr/>
      <w:tcPr>
        <w:shd w:val="clear" w:color="BFBFBF" w:fill="BFBFBF" w:themeFill="text1" w:themeFillTint="40"/>
      </w:tcPr>
    </w:tblStylePr>
    <w:tblStylePr w:type="firstCol">
      <w:rPr>
        <w:b/>
      </w:rPr>
      <w:tblPr/>
    </w:tblStylePr>
    <w:tblStylePr w:type="firstRow">
      <w:rPr>
        <w:b/>
        <w:sz w:val="22"/>
      </w:rPr>
      <w:tblPr/>
      <w:tcPr>
        <w:shd w:val="clear" w:color="000000" w:fill="000000" w:themeFill="text1"/>
      </w:tcPr>
    </w:tblStylePr>
    <w:tblStylePr w:type="lastCol">
      <w:rPr>
        <w:b/>
      </w:rPr>
      <w:tblPr/>
    </w:tblStylePr>
    <w:tblStylePr w:type="lastRow">
      <w:rPr>
        <w:b/>
      </w:rPr>
      <w:tblPr/>
    </w:tblStylePr>
  </w:style>
  <w:style w:type="table" w:customStyle="1" w:styleId="1028">
    <w:name w:val="List Table 4 - Accent 1"/>
    <w:basedOn w:val="950"/>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sz w:val="22"/>
      </w:rPr>
      <w:tblPr/>
      <w:tcPr>
        <w:shd w:val="clear" w:color="D2DFEE" w:fill="D2DFEE" w:themeFill="accent1" w:themeFillTint="40"/>
      </w:tcPr>
    </w:tblStylePr>
    <w:tblStylePr w:type="band1Vert">
      <w:rPr>
        <w:sz w:val="22"/>
      </w:rPr>
      <w:tblPr/>
      <w:tcPr>
        <w:shd w:val="clear" w:color="D2DFEE" w:fill="D2DFEE" w:themeFill="accent1" w:themeFillTint="40"/>
      </w:tcPr>
    </w:tblStylePr>
    <w:tblStylePr w:type="firstCol">
      <w:rPr>
        <w:b/>
      </w:rPr>
      <w:tblPr/>
    </w:tblStylePr>
    <w:tblStylePr w:type="firstRow">
      <w:rPr>
        <w:b/>
        <w:sz w:val="22"/>
      </w:rPr>
      <w:tblPr/>
      <w:tcPr>
        <w:shd w:val="clear" w:color="4F81BD" w:fill="4F81BD" w:themeFill="accent1"/>
      </w:tcPr>
    </w:tblStylePr>
    <w:tblStylePr w:type="lastCol">
      <w:rPr>
        <w:b/>
      </w:rPr>
      <w:tblPr/>
    </w:tblStylePr>
    <w:tblStylePr w:type="lastRow">
      <w:rPr>
        <w:b/>
      </w:rPr>
      <w:tblPr/>
    </w:tblStylePr>
  </w:style>
  <w:style w:type="table" w:customStyle="1" w:styleId="1029">
    <w:name w:val="List Table 4 - Accent 2"/>
    <w:basedOn w:val="950"/>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sz w:val="22"/>
      </w:rPr>
      <w:tblPr/>
      <w:tcPr>
        <w:shd w:val="clear" w:color="EFD2D2" w:fill="EFD2D2" w:themeFill="accent2" w:themeFillTint="40"/>
      </w:tcPr>
    </w:tblStylePr>
    <w:tblStylePr w:type="band1Vert">
      <w:rPr>
        <w:sz w:val="22"/>
      </w:rPr>
      <w:tblPr/>
      <w:tcPr>
        <w:shd w:val="clear" w:color="EFD2D2" w:fill="EFD2D2" w:themeFill="accent2" w:themeFillTint="40"/>
      </w:tcPr>
    </w:tblStylePr>
    <w:tblStylePr w:type="firstCol">
      <w:rPr>
        <w:b/>
      </w:rPr>
      <w:tblPr/>
    </w:tblStylePr>
    <w:tblStylePr w:type="firstRow">
      <w:rPr>
        <w:b/>
        <w:sz w:val="22"/>
      </w:rPr>
      <w:tblPr/>
      <w:tcPr>
        <w:shd w:val="clear" w:color="C0504D" w:fill="C0504D" w:themeFill="accent2"/>
      </w:tcPr>
    </w:tblStylePr>
    <w:tblStylePr w:type="lastCol">
      <w:rPr>
        <w:b/>
      </w:rPr>
      <w:tblPr/>
    </w:tblStylePr>
    <w:tblStylePr w:type="lastRow">
      <w:rPr>
        <w:b/>
      </w:rPr>
      <w:tblPr/>
    </w:tblStylePr>
  </w:style>
  <w:style w:type="table" w:customStyle="1" w:styleId="1030">
    <w:name w:val="List Table 4 - Accent 3"/>
    <w:basedOn w:val="950"/>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sz w:val="22"/>
      </w:rPr>
      <w:tblPr/>
      <w:tcPr>
        <w:shd w:val="clear" w:color="E5EED5" w:fill="E5EED5" w:themeFill="accent3" w:themeFillTint="40"/>
      </w:tcPr>
    </w:tblStylePr>
    <w:tblStylePr w:type="band1Vert">
      <w:rPr>
        <w:sz w:val="22"/>
      </w:rPr>
      <w:tblPr/>
      <w:tcPr>
        <w:shd w:val="clear" w:color="E5EED5" w:fill="E5EED5" w:themeFill="accent3" w:themeFillTint="40"/>
      </w:tcPr>
    </w:tblStylePr>
    <w:tblStylePr w:type="firstCol">
      <w:rPr>
        <w:b/>
      </w:rPr>
      <w:tblPr/>
    </w:tblStylePr>
    <w:tblStylePr w:type="firstRow">
      <w:rPr>
        <w:b/>
        <w:sz w:val="22"/>
      </w:rPr>
      <w:tblPr/>
      <w:tcPr>
        <w:shd w:val="clear" w:color="9BBB59" w:fill="9BBB59" w:themeFill="accent3"/>
      </w:tcPr>
    </w:tblStylePr>
    <w:tblStylePr w:type="lastCol">
      <w:rPr>
        <w:b/>
      </w:rPr>
      <w:tblPr/>
    </w:tblStylePr>
    <w:tblStylePr w:type="lastRow">
      <w:rPr>
        <w:b/>
      </w:rPr>
      <w:tblPr/>
    </w:tblStylePr>
  </w:style>
  <w:style w:type="table" w:customStyle="1" w:styleId="1031">
    <w:name w:val="List Table 4 - Accent 4"/>
    <w:basedOn w:val="950"/>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sz w:val="22"/>
      </w:rPr>
      <w:tblPr/>
      <w:tcPr>
        <w:shd w:val="clear" w:color="DFD8E7" w:fill="DFD8E7" w:themeFill="accent4" w:themeFillTint="40"/>
      </w:tcPr>
    </w:tblStylePr>
    <w:tblStylePr w:type="band1Vert">
      <w:rPr>
        <w:sz w:val="22"/>
      </w:rPr>
      <w:tblPr/>
      <w:tcPr>
        <w:shd w:val="clear" w:color="DFD8E7" w:fill="DFD8E7" w:themeFill="accent4" w:themeFillTint="40"/>
      </w:tcPr>
    </w:tblStylePr>
    <w:tblStylePr w:type="firstCol">
      <w:rPr>
        <w:b/>
      </w:rPr>
      <w:tblPr/>
    </w:tblStylePr>
    <w:tblStylePr w:type="firstRow">
      <w:rPr>
        <w:b/>
        <w:sz w:val="22"/>
      </w:rPr>
      <w:tblPr/>
      <w:tcPr>
        <w:shd w:val="clear" w:color="8064A2" w:fill="8064A2" w:themeFill="accent4"/>
      </w:tcPr>
    </w:tblStylePr>
    <w:tblStylePr w:type="lastCol">
      <w:rPr>
        <w:b/>
      </w:rPr>
      <w:tblPr/>
    </w:tblStylePr>
    <w:tblStylePr w:type="lastRow">
      <w:rPr>
        <w:b/>
      </w:rPr>
      <w:tblPr/>
    </w:tblStylePr>
  </w:style>
  <w:style w:type="table" w:customStyle="1" w:styleId="1032">
    <w:name w:val="List Table 4 - Accent 5"/>
    <w:basedOn w:val="950"/>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sz w:val="22"/>
      </w:rPr>
      <w:tblPr/>
      <w:tcPr>
        <w:shd w:val="clear" w:color="D1EAF0" w:fill="D1EAF0" w:themeFill="accent5" w:themeFillTint="40"/>
      </w:tcPr>
    </w:tblStylePr>
    <w:tblStylePr w:type="band1Vert">
      <w:rPr>
        <w:sz w:val="22"/>
      </w:rPr>
      <w:tblPr/>
      <w:tcPr>
        <w:shd w:val="clear" w:color="D1EAF0" w:fill="D1EAF0" w:themeFill="accent5" w:themeFillTint="40"/>
      </w:tcPr>
    </w:tblStylePr>
    <w:tblStylePr w:type="firstCol">
      <w:rPr>
        <w:b/>
      </w:rPr>
      <w:tblPr/>
    </w:tblStylePr>
    <w:tblStylePr w:type="firstRow">
      <w:rPr>
        <w:b/>
        <w:sz w:val="22"/>
      </w:rPr>
      <w:tblPr/>
      <w:tcPr>
        <w:shd w:val="clear" w:color="4BACC6" w:fill="4BACC6" w:themeFill="accent5"/>
      </w:tcPr>
    </w:tblStylePr>
    <w:tblStylePr w:type="lastCol">
      <w:rPr>
        <w:b/>
      </w:rPr>
      <w:tblPr/>
    </w:tblStylePr>
    <w:tblStylePr w:type="lastRow">
      <w:rPr>
        <w:b/>
      </w:rPr>
      <w:tblPr/>
    </w:tblStylePr>
  </w:style>
  <w:style w:type="table" w:customStyle="1" w:styleId="1033">
    <w:name w:val="List Table 4 - Accent 6"/>
    <w:basedOn w:val="950"/>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sz w:val="22"/>
      </w:rPr>
      <w:tblPr/>
      <w:tcPr>
        <w:shd w:val="clear" w:color="FDE4D0" w:fill="FDE4D0" w:themeFill="accent6" w:themeFillTint="40"/>
      </w:tcPr>
    </w:tblStylePr>
    <w:tblStylePr w:type="band1Vert">
      <w:rPr>
        <w:sz w:val="22"/>
      </w:rPr>
      <w:tblPr/>
      <w:tcPr>
        <w:shd w:val="clear" w:color="FDE4D0" w:fill="FDE4D0" w:themeFill="accent6" w:themeFillTint="40"/>
      </w:tcPr>
    </w:tblStylePr>
    <w:tblStylePr w:type="firstCol">
      <w:rPr>
        <w:b/>
      </w:rPr>
      <w:tblPr/>
    </w:tblStylePr>
    <w:tblStylePr w:type="firstRow">
      <w:rPr>
        <w:b/>
        <w:sz w:val="22"/>
      </w:rPr>
      <w:tblPr/>
      <w:tcPr>
        <w:shd w:val="clear" w:color="F79646" w:fill="F79646" w:themeFill="accent6"/>
      </w:tcPr>
    </w:tblStylePr>
    <w:tblStylePr w:type="lastCol">
      <w:rPr>
        <w:b/>
      </w:rPr>
      <w:tblPr/>
    </w:tblStylePr>
    <w:tblStylePr w:type="lastRow">
      <w:rPr>
        <w:b/>
      </w:rPr>
      <w:tblPr/>
    </w:tblStylePr>
  </w:style>
  <w:style w:type="table" w:customStyle="1" w:styleId="1034">
    <w:name w:val="List Table 5 Dark"/>
    <w:basedOn w:val="950"/>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7F7F7F" w:themeColor="text1" w:sz="32" w:space="0"/>
          <w:right w:val="single" w:color="FFFFFF" w:themeColor="light1" w:sz="4" w:space="0"/>
        </w:tcBorders>
      </w:tcPr>
    </w:tblStylePr>
    <w:tblStylePr w:type="firstRow">
      <w:rPr>
        <w:b/>
        <w:color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themeColor="light1"/>
        <w:sz w:val="22"/>
      </w:rPr>
      <w:tblPr/>
    </w:tblStylePr>
  </w:style>
  <w:style w:type="table" w:customStyle="1" w:styleId="1035">
    <w:name w:val="List Table 5 Dark - Accent 1"/>
    <w:basedOn w:val="950"/>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4F81BD" w:themeColor="accent1" w:sz="32" w:space="0"/>
          <w:right w:val="single" w:color="FFFFFF" w:themeColor="light1" w:sz="4" w:space="0"/>
        </w:tcBorders>
      </w:tcPr>
    </w:tblStylePr>
    <w:tblStylePr w:type="firstRow">
      <w:rPr>
        <w:b/>
        <w:color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Col">
      <w:tblPr/>
      <w:tcPr>
        <w:tcBorders>
          <w:left w:val="single" w:color="FFFFFF" w:themeColor="light1" w:sz="4" w:space="0"/>
          <w:right w:val="single" w:color="4F81BD" w:themeColor="accent1" w:sz="32" w:space="0"/>
        </w:tcBorders>
      </w:tcPr>
    </w:tblStylePr>
    <w:tblStylePr w:type="lastRow">
      <w:rPr>
        <w:b/>
        <w:color w:themeColor="light1"/>
        <w:sz w:val="22"/>
      </w:rPr>
      <w:tblPr/>
    </w:tblStylePr>
  </w:style>
  <w:style w:type="table" w:customStyle="1" w:styleId="1036">
    <w:name w:val="List Table 5 Dark - Accent 2"/>
    <w:basedOn w:val="950"/>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D99695" w:themeColor="accent2" w:sz="32" w:space="0"/>
          <w:right w:val="single" w:color="FFFFFF" w:themeColor="light1" w:sz="4" w:space="0"/>
        </w:tcBorders>
      </w:tcPr>
    </w:tblStylePr>
    <w:tblStylePr w:type="firstRow">
      <w:rPr>
        <w:b/>
        <w:color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Col">
      <w:tblPr/>
      <w:tcPr>
        <w:tcBorders>
          <w:left w:val="single" w:color="FFFFFF" w:themeColor="light1" w:sz="4" w:space="0"/>
          <w:right w:val="single" w:color="D99695" w:themeColor="accent2" w:sz="32" w:space="0"/>
        </w:tcBorders>
      </w:tcPr>
    </w:tblStylePr>
    <w:tblStylePr w:type="lastRow">
      <w:rPr>
        <w:b/>
        <w:color w:themeColor="light1"/>
        <w:sz w:val="22"/>
      </w:rPr>
      <w:tblPr/>
    </w:tblStylePr>
  </w:style>
  <w:style w:type="table" w:customStyle="1" w:styleId="1037">
    <w:name w:val="List Table 5 Dark - Accent 3"/>
    <w:basedOn w:val="950"/>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C3D69B" w:themeColor="accent3" w:sz="32" w:space="0"/>
          <w:right w:val="single" w:color="FFFFFF" w:themeColor="light1" w:sz="4" w:space="0"/>
        </w:tcBorders>
      </w:tcPr>
    </w:tblStylePr>
    <w:tblStylePr w:type="firstRow">
      <w:rPr>
        <w:b/>
        <w:color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Col">
      <w:tblPr/>
      <w:tcPr>
        <w:tcBorders>
          <w:left w:val="single" w:color="FFFFFF" w:themeColor="light1" w:sz="4" w:space="0"/>
          <w:right w:val="single" w:color="C3D69B" w:themeColor="accent3" w:sz="32" w:space="0"/>
        </w:tcBorders>
      </w:tcPr>
    </w:tblStylePr>
    <w:tblStylePr w:type="lastRow">
      <w:rPr>
        <w:b/>
        <w:color w:themeColor="light1"/>
        <w:sz w:val="22"/>
      </w:rPr>
      <w:tblPr/>
    </w:tblStylePr>
  </w:style>
  <w:style w:type="table" w:customStyle="1" w:styleId="1038">
    <w:name w:val="List Table 5 Dark - Accent 4"/>
    <w:basedOn w:val="950"/>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B2A1C6" w:themeColor="accent4" w:sz="32" w:space="0"/>
          <w:right w:val="single" w:color="FFFFFF" w:themeColor="light1" w:sz="4" w:space="0"/>
        </w:tcBorders>
      </w:tcPr>
    </w:tblStylePr>
    <w:tblStylePr w:type="firstRow">
      <w:rPr>
        <w:b/>
        <w:color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Col">
      <w:tblPr/>
      <w:tcPr>
        <w:tcBorders>
          <w:left w:val="single" w:color="FFFFFF" w:themeColor="light1" w:sz="4" w:space="0"/>
          <w:right w:val="single" w:color="B2A1C6" w:themeColor="accent4" w:sz="32" w:space="0"/>
        </w:tcBorders>
      </w:tcPr>
    </w:tblStylePr>
    <w:tblStylePr w:type="lastRow">
      <w:rPr>
        <w:b/>
        <w:color w:themeColor="light1"/>
        <w:sz w:val="22"/>
      </w:rPr>
      <w:tblPr/>
    </w:tblStylePr>
  </w:style>
  <w:style w:type="table" w:customStyle="1" w:styleId="1039">
    <w:name w:val="List Table 5 Dark - Accent 5"/>
    <w:basedOn w:val="950"/>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92CCDC" w:themeColor="accent5" w:sz="32" w:space="0"/>
          <w:right w:val="single" w:color="FFFFFF" w:themeColor="light1" w:sz="4" w:space="0"/>
        </w:tcBorders>
      </w:tcPr>
    </w:tblStylePr>
    <w:tblStylePr w:type="firstRow">
      <w:rPr>
        <w:b/>
        <w:color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Col">
      <w:tblPr/>
      <w:tcPr>
        <w:tcBorders>
          <w:left w:val="single" w:color="FFFFFF" w:themeColor="light1" w:sz="4" w:space="0"/>
          <w:right w:val="single" w:color="92CCDC" w:themeColor="accent5" w:sz="32" w:space="0"/>
        </w:tcBorders>
      </w:tcPr>
    </w:tblStylePr>
    <w:tblStylePr w:type="lastRow">
      <w:rPr>
        <w:b/>
        <w:color w:themeColor="light1"/>
        <w:sz w:val="22"/>
      </w:rPr>
      <w:tblPr/>
    </w:tblStylePr>
  </w:style>
  <w:style w:type="table" w:customStyle="1" w:styleId="1040">
    <w:name w:val="List Table 5 Dark - Accent 6"/>
    <w:basedOn w:val="950"/>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themeColor="light1"/>
        <w:sz w:val="22"/>
      </w:rPr>
      <w:tblPr/>
      <w:tcPr>
        <w:tcBorders>
          <w:left w:val="single" w:color="FAC090" w:themeColor="accent6" w:sz="32" w:space="0"/>
          <w:right w:val="single" w:color="FFFFFF" w:themeColor="light1" w:sz="4" w:space="0"/>
        </w:tcBorders>
      </w:tcPr>
    </w:tblStylePr>
    <w:tblStylePr w:type="firstRow">
      <w:rPr>
        <w:b/>
        <w:color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Col">
      <w:tblPr/>
      <w:tcPr>
        <w:tcBorders>
          <w:left w:val="single" w:color="FFFFFF" w:themeColor="light1" w:sz="4" w:space="0"/>
          <w:right w:val="single" w:color="FAC090" w:themeColor="accent6" w:sz="32" w:space="0"/>
        </w:tcBorders>
      </w:tcPr>
    </w:tblStylePr>
    <w:tblStylePr w:type="lastRow">
      <w:rPr>
        <w:b/>
        <w:color w:themeColor="light1"/>
        <w:sz w:val="22"/>
      </w:rPr>
      <w:tblPr/>
    </w:tblStylePr>
  </w:style>
  <w:style w:type="table" w:customStyle="1" w:styleId="1041">
    <w:name w:val="List Table 6 Colorful"/>
    <w:basedOn w:val="950"/>
    <w:uiPriority w:val="99"/>
    <w:tblPr>
      <w:tblStyleRowBandSize w:val="1"/>
      <w:tblStyleColBandSize w:val="1"/>
      <w:tblBorders>
        <w:top w:val="single" w:color="7F7F7F" w:themeColor="text1" w:themeTint="80" w:sz="4" w:space="0"/>
        <w:bottom w:val="single" w:color="7F7F7F" w:themeColor="text1" w:themeTint="80" w:sz="4" w:space="0"/>
      </w:tblBorders>
      <w:tblCellMar>
        <w:left w:w="108" w:type="dxa"/>
        <w:top w:w="0" w:type="dxa"/>
        <w:right w:w="108" w:type="dxa"/>
        <w:bottom w:w="0" w:type="dxa"/>
      </w:tblCellMar>
    </w:tblPr>
    <w:tblStylePr w:type="band1Horz">
      <w:rPr>
        <w:color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themeColor="text1"/>
        <w:sz w:val="22"/>
      </w:rPr>
      <w:tblPr/>
    </w:tblStylePr>
    <w:tblStylePr w:type="firstCol">
      <w:rPr>
        <w:b/>
        <w:color w:themeColor="text1"/>
      </w:rPr>
      <w:tblPr/>
    </w:tblStylePr>
    <w:tblStylePr w:type="firstRow">
      <w:rPr>
        <w:b/>
        <w:color w:themeColor="text1"/>
      </w:rPr>
      <w:tblPr/>
      <w:tcPr>
        <w:tcBorders>
          <w:bottom w:val="single" w:color="7F7F7F" w:themeColor="text1" w:sz="4" w:space="0"/>
        </w:tcBorders>
      </w:tcPr>
    </w:tblStylePr>
    <w:tblStylePr w:type="lastCol">
      <w:rPr>
        <w:b/>
        <w:color w:themeColor="text1"/>
      </w:rPr>
      <w:tblPr/>
    </w:tblStylePr>
    <w:tblStylePr w:type="lastRow">
      <w:rPr>
        <w:b/>
        <w:color w:themeColor="text1"/>
      </w:rPr>
      <w:tblPr/>
      <w:tcPr>
        <w:tcBorders>
          <w:top w:val="single" w:color="7F7F7F" w:themeColor="text1" w:sz="4" w:space="0"/>
        </w:tcBorders>
      </w:tcPr>
    </w:tblStylePr>
  </w:style>
  <w:style w:type="table" w:customStyle="1" w:styleId="1042">
    <w:name w:val="List Table 6 Colorful - Accent 1"/>
    <w:basedOn w:val="950"/>
    <w:uiPriority w:val="99"/>
    <w:tblPr>
      <w:tblStyleRowBandSize w:val="1"/>
      <w:tblStyleColBandSize w:val="1"/>
      <w:tblBorders>
        <w:top w:val="single" w:color="4F81BD" w:themeColor="accent1" w:sz="4" w:space="0"/>
        <w:bottom w:val="single" w:color="4F81BD" w:themeColor="accent1" w:sz="4" w:space="0"/>
      </w:tblBorders>
      <w:tblCellMar>
        <w:left w:w="108" w:type="dxa"/>
        <w:top w:w="0" w:type="dxa"/>
        <w:right w:w="108" w:type="dxa"/>
        <w:bottom w:w="0" w:type="dxa"/>
      </w:tblCellMar>
    </w:tblPr>
    <w:tblStylePr w:type="band1Horz">
      <w:rPr>
        <w:color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themeColor="accent1" w:themeShade="95"/>
        <w:sz w:val="22"/>
      </w:rPr>
      <w:tblPr/>
    </w:tblStylePr>
    <w:tblStylePr w:type="firstCol">
      <w:rPr>
        <w:b/>
        <w:color w:themeColor="accent1" w:themeShade="95"/>
      </w:rPr>
      <w:tblPr/>
    </w:tblStylePr>
    <w:tblStylePr w:type="firstRow">
      <w:rPr>
        <w:b/>
        <w:color w:themeColor="accent1" w:themeShade="95"/>
      </w:rPr>
      <w:tblPr/>
      <w:tcPr>
        <w:tcBorders>
          <w:bottom w:val="single" w:color="4F81BD" w:themeColor="accent1" w:sz="4" w:space="0"/>
        </w:tcBorders>
      </w:tcPr>
    </w:tblStylePr>
    <w:tblStylePr w:type="lastCol">
      <w:rPr>
        <w:b/>
        <w:color w:themeColor="accent1" w:themeShade="95"/>
      </w:rPr>
      <w:tblPr/>
    </w:tblStylePr>
    <w:tblStylePr w:type="lastRow">
      <w:rPr>
        <w:b/>
        <w:color w:themeColor="accent1" w:themeShade="95"/>
      </w:rPr>
      <w:tblPr/>
      <w:tcPr>
        <w:tcBorders>
          <w:top w:val="single" w:color="4F81BD" w:themeColor="accent1" w:sz="4" w:space="0"/>
        </w:tcBorders>
      </w:tcPr>
    </w:tblStylePr>
  </w:style>
  <w:style w:type="table" w:customStyle="1" w:styleId="1043">
    <w:name w:val="List Table 6 Colorful - Accent 2"/>
    <w:basedOn w:val="950"/>
    <w:uiPriority w:val="99"/>
    <w:tblPr>
      <w:tblStyleRowBandSize w:val="1"/>
      <w:tblStyleColBandSize w:val="1"/>
      <w:tblBorders>
        <w:top w:val="single" w:color="D99695" w:themeColor="accent2" w:themeTint="97" w:sz="4" w:space="0"/>
        <w:bottom w:val="single" w:color="D99695" w:themeColor="accent2" w:themeTint="97" w:sz="4" w:space="0"/>
      </w:tblBorders>
      <w:tblCellMar>
        <w:left w:w="108" w:type="dxa"/>
        <w:top w:w="0" w:type="dxa"/>
        <w:right w:w="108" w:type="dxa"/>
        <w:bottom w:w="0" w:type="dxa"/>
      </w:tblCellMar>
    </w:tblPr>
    <w:tblStylePr w:type="band1Horz">
      <w:rPr>
        <w:color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themeColor="accent2" w:themeTint="97" w:themeShade="95"/>
        <w:sz w:val="22"/>
      </w:rPr>
      <w:tblPr/>
    </w:tblStylePr>
    <w:tblStylePr w:type="firstCol">
      <w:rPr>
        <w:b/>
        <w:color w:themeColor="accent2" w:themeTint="97" w:themeShade="95"/>
      </w:rPr>
      <w:tblPr/>
    </w:tblStylePr>
    <w:tblStylePr w:type="firstRow">
      <w:rPr>
        <w:b/>
        <w:color w:themeColor="accent2" w:themeTint="97" w:themeShade="95"/>
      </w:rPr>
      <w:tblPr/>
      <w:tcPr>
        <w:tcBorders>
          <w:bottom w:val="single" w:color="D99695" w:themeColor="accent2" w:sz="4" w:space="0"/>
        </w:tcBorders>
      </w:tcPr>
    </w:tblStylePr>
    <w:tblStylePr w:type="lastCol">
      <w:rPr>
        <w:b/>
        <w:color w:themeColor="accent2" w:themeTint="97" w:themeShade="95"/>
      </w:rPr>
      <w:tblPr/>
    </w:tblStylePr>
    <w:tblStylePr w:type="lastRow">
      <w:rPr>
        <w:b/>
        <w:color w:themeColor="accent2" w:themeTint="97" w:themeShade="95"/>
      </w:rPr>
      <w:tblPr/>
      <w:tcPr>
        <w:tcBorders>
          <w:top w:val="single" w:color="D99695" w:themeColor="accent2" w:sz="4" w:space="0"/>
        </w:tcBorders>
      </w:tcPr>
    </w:tblStylePr>
  </w:style>
  <w:style w:type="table" w:customStyle="1" w:styleId="1044">
    <w:name w:val="List Table 6 Colorful - Accent 3"/>
    <w:basedOn w:val="950"/>
    <w:uiPriority w:val="99"/>
    <w:tblPr>
      <w:tblStyleRowBandSize w:val="1"/>
      <w:tblStyleColBandSize w:val="1"/>
      <w:tblBorders>
        <w:top w:val="single" w:color="C3D69B" w:themeColor="accent3" w:themeTint="98" w:sz="4" w:space="0"/>
        <w:bottom w:val="single" w:color="C3D69B" w:themeColor="accent3" w:themeTint="98" w:sz="4" w:space="0"/>
      </w:tblBorders>
      <w:tblCellMar>
        <w:left w:w="108" w:type="dxa"/>
        <w:top w:w="0" w:type="dxa"/>
        <w:right w:w="108" w:type="dxa"/>
        <w:bottom w:w="0" w:type="dxa"/>
      </w:tblCellMar>
    </w:tblPr>
    <w:tblStylePr w:type="band1Horz">
      <w:rPr>
        <w:color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themeColor="accent3" w:themeTint="98" w:themeShade="95"/>
        <w:sz w:val="22"/>
      </w:rPr>
      <w:tblPr/>
    </w:tblStylePr>
    <w:tblStylePr w:type="firstCol">
      <w:rPr>
        <w:b/>
        <w:color w:themeColor="accent3" w:themeTint="98" w:themeShade="95"/>
      </w:rPr>
      <w:tblPr/>
    </w:tblStylePr>
    <w:tblStylePr w:type="firstRow">
      <w:rPr>
        <w:b/>
        <w:color w:themeColor="accent3" w:themeTint="98" w:themeShade="95"/>
      </w:rPr>
      <w:tblPr/>
      <w:tcPr>
        <w:tcBorders>
          <w:bottom w:val="single" w:color="C3D69B" w:themeColor="accent3" w:sz="4" w:space="0"/>
        </w:tcBorders>
      </w:tcPr>
    </w:tblStylePr>
    <w:tblStylePr w:type="lastCol">
      <w:rPr>
        <w:b/>
        <w:color w:themeColor="accent3" w:themeTint="98" w:themeShade="95"/>
      </w:rPr>
      <w:tblPr/>
    </w:tblStylePr>
    <w:tblStylePr w:type="lastRow">
      <w:rPr>
        <w:b/>
        <w:color w:themeColor="accent3" w:themeTint="98" w:themeShade="95"/>
      </w:rPr>
      <w:tblPr/>
      <w:tcPr>
        <w:tcBorders>
          <w:top w:val="single" w:color="C3D69B" w:themeColor="accent3" w:sz="4" w:space="0"/>
        </w:tcBorders>
      </w:tcPr>
    </w:tblStylePr>
  </w:style>
  <w:style w:type="table" w:customStyle="1" w:styleId="1045">
    <w:name w:val="List Table 6 Colorful - Accent 4"/>
    <w:basedOn w:val="950"/>
    <w:uiPriority w:val="99"/>
    <w:tblPr>
      <w:tblStyleRowBandSize w:val="1"/>
      <w:tblStyleColBandSize w:val="1"/>
      <w:tblBorders>
        <w:top w:val="single" w:color="B2A1C6" w:themeColor="accent4" w:themeTint="9a" w:sz="4" w:space="0"/>
        <w:bottom w:val="single" w:color="B2A1C6" w:themeColor="accent4" w:themeTint="9a" w:sz="4" w:space="0"/>
      </w:tblBorders>
      <w:tblCellMar>
        <w:left w:w="108" w:type="dxa"/>
        <w:top w:w="0" w:type="dxa"/>
        <w:right w:w="108" w:type="dxa"/>
        <w:bottom w:w="0" w:type="dxa"/>
      </w:tblCellMar>
    </w:tblPr>
    <w:tblStylePr w:type="band1Horz">
      <w:rPr>
        <w:color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themeColor="accent4" w:themeTint="9a" w:themeShade="95"/>
        <w:sz w:val="22"/>
      </w:rPr>
      <w:tblPr/>
    </w:tblStylePr>
    <w:tblStylePr w:type="firstCol">
      <w:rPr>
        <w:b/>
        <w:color w:themeColor="accent4" w:themeTint="9a" w:themeShade="95"/>
      </w:rPr>
      <w:tblPr/>
    </w:tblStylePr>
    <w:tblStylePr w:type="firstRow">
      <w:rPr>
        <w:b/>
        <w:color w:themeColor="accent4" w:themeTint="9a" w:themeShade="95"/>
      </w:rPr>
      <w:tblPr/>
      <w:tcPr>
        <w:tcBorders>
          <w:bottom w:val="single" w:color="B2A1C6" w:themeColor="accent4" w:sz="4" w:space="0"/>
        </w:tcBorders>
      </w:tcPr>
    </w:tblStylePr>
    <w:tblStylePr w:type="lastCol">
      <w:rPr>
        <w:b/>
        <w:color w:themeColor="accent4" w:themeTint="9a" w:themeShade="95"/>
      </w:rPr>
      <w:tblPr/>
    </w:tblStylePr>
    <w:tblStylePr w:type="lastRow">
      <w:rPr>
        <w:b/>
        <w:color w:themeColor="accent4" w:themeTint="9a" w:themeShade="95"/>
      </w:rPr>
      <w:tblPr/>
      <w:tcPr>
        <w:tcBorders>
          <w:top w:val="single" w:color="B2A1C6" w:themeColor="accent4" w:sz="4" w:space="0"/>
        </w:tcBorders>
      </w:tcPr>
    </w:tblStylePr>
  </w:style>
  <w:style w:type="table" w:customStyle="1" w:styleId="1046">
    <w:name w:val="List Table 6 Colorful - Accent 5"/>
    <w:basedOn w:val="950"/>
    <w:uiPriority w:val="99"/>
    <w:tblPr>
      <w:tblStyleRowBandSize w:val="1"/>
      <w:tblStyleColBandSize w:val="1"/>
      <w:tblBorders>
        <w:top w:val="single" w:color="92CCDC" w:themeColor="accent5" w:themeTint="9a" w:sz="4" w:space="0"/>
        <w:bottom w:val="single" w:color="92CCDC" w:themeColor="accent5" w:themeTint="9a" w:sz="4" w:space="0"/>
      </w:tblBorders>
      <w:tblCellMar>
        <w:left w:w="108" w:type="dxa"/>
        <w:top w:w="0" w:type="dxa"/>
        <w:right w:w="108" w:type="dxa"/>
        <w:bottom w:w="0" w:type="dxa"/>
      </w:tblCellMar>
    </w:tblPr>
    <w:tblStylePr w:type="band1Horz">
      <w:rPr>
        <w:color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themeColor="accent5" w:themeTint="9a" w:themeShade="95"/>
        <w:sz w:val="22"/>
      </w:rPr>
      <w:tblPr/>
    </w:tblStylePr>
    <w:tblStylePr w:type="firstCol">
      <w:rPr>
        <w:b/>
        <w:color w:themeColor="accent5" w:themeTint="9a" w:themeShade="95"/>
      </w:rPr>
      <w:tblPr/>
    </w:tblStylePr>
    <w:tblStylePr w:type="firstRow">
      <w:rPr>
        <w:b/>
        <w:color w:themeColor="accent5" w:themeTint="9a" w:themeShade="95"/>
      </w:rPr>
      <w:tblPr/>
      <w:tcPr>
        <w:tcBorders>
          <w:bottom w:val="single" w:color="92CCDC" w:themeColor="accent5" w:sz="4" w:space="0"/>
        </w:tcBorders>
      </w:tcPr>
    </w:tblStylePr>
    <w:tblStylePr w:type="lastCol">
      <w:rPr>
        <w:b/>
        <w:color w:themeColor="accent5" w:themeTint="9a" w:themeShade="95"/>
      </w:rPr>
      <w:tblPr/>
    </w:tblStylePr>
    <w:tblStylePr w:type="lastRow">
      <w:rPr>
        <w:b/>
        <w:color w:themeColor="accent5" w:themeTint="9a" w:themeShade="95"/>
      </w:rPr>
      <w:tblPr/>
      <w:tcPr>
        <w:tcBorders>
          <w:top w:val="single" w:color="92CCDC" w:themeColor="accent5" w:sz="4" w:space="0"/>
        </w:tcBorders>
      </w:tcPr>
    </w:tblStylePr>
  </w:style>
  <w:style w:type="table" w:customStyle="1" w:styleId="1047">
    <w:name w:val="List Table 6 Colorful - Accent 6"/>
    <w:basedOn w:val="950"/>
    <w:uiPriority w:val="99"/>
    <w:tblPr>
      <w:tblStyleRowBandSize w:val="1"/>
      <w:tblStyleColBandSize w:val="1"/>
      <w:tblBorders>
        <w:top w:val="single" w:color="FAC090" w:themeColor="accent6" w:themeTint="98" w:sz="4" w:space="0"/>
        <w:bottom w:val="single" w:color="FAC090" w:themeColor="accent6" w:themeTint="98" w:sz="4" w:space="0"/>
      </w:tblBorders>
      <w:tblCellMar>
        <w:left w:w="108" w:type="dxa"/>
        <w:top w:w="0" w:type="dxa"/>
        <w:right w:w="108" w:type="dxa"/>
        <w:bottom w:w="0" w:type="dxa"/>
      </w:tblCellMar>
    </w:tblPr>
    <w:tblStylePr w:type="band1Horz">
      <w:rPr>
        <w:color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themeColor="accent6" w:themeTint="98" w:themeShade="95"/>
        <w:sz w:val="22"/>
      </w:rPr>
      <w:tblPr/>
    </w:tblStylePr>
    <w:tblStylePr w:type="firstCol">
      <w:rPr>
        <w:b/>
        <w:color w:themeColor="accent6" w:themeTint="98" w:themeShade="95"/>
      </w:rPr>
      <w:tblPr/>
    </w:tblStylePr>
    <w:tblStylePr w:type="firstRow">
      <w:rPr>
        <w:b/>
        <w:color w:themeColor="accent6" w:themeTint="98" w:themeShade="95"/>
      </w:rPr>
      <w:tblPr/>
      <w:tcPr>
        <w:tcBorders>
          <w:bottom w:val="single" w:color="FAC090" w:themeColor="accent6" w:sz="4" w:space="0"/>
        </w:tcBorders>
      </w:tcPr>
    </w:tblStylePr>
    <w:tblStylePr w:type="lastCol">
      <w:rPr>
        <w:b/>
        <w:color w:themeColor="accent6" w:themeTint="98" w:themeShade="95"/>
      </w:rPr>
      <w:tblPr/>
    </w:tblStylePr>
    <w:tblStylePr w:type="lastRow">
      <w:rPr>
        <w:b/>
        <w:color w:themeColor="accent6" w:themeTint="98" w:themeShade="95"/>
      </w:rPr>
      <w:tblPr/>
      <w:tcPr>
        <w:tcBorders>
          <w:top w:val="single" w:color="FAC090" w:themeColor="accent6" w:sz="4" w:space="0"/>
        </w:tcBorders>
      </w:tcPr>
    </w:tblStylePr>
  </w:style>
  <w:style w:type="table" w:customStyle="1" w:styleId="1048">
    <w:name w:val="List Table 7 Colorful"/>
    <w:basedOn w:val="950"/>
    <w:uiPriority w:val="99"/>
    <w:tblPr>
      <w:tblStyleRowBandSize w:val="1"/>
      <w:tblStyleColBandSize w:val="1"/>
      <w:tblBorders>
        <w:right w:val="single" w:color="7F7F7F" w:themeColor="text1" w:themeTint="80" w:sz="4" w:space="0"/>
      </w:tblBorders>
      <w:tblCellMar>
        <w:left w:w="108" w:type="dxa"/>
        <w:top w:w="0" w:type="dxa"/>
        <w:right w:w="108" w:type="dxa"/>
        <w:bottom w:w="0" w:type="dxa"/>
      </w:tblCellMar>
    </w:tblPr>
    <w:tblStylePr w:type="band1Horz">
      <w:rPr>
        <w:color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themeColor="text1" w:themeTint="80" w:themeShade="95"/>
        <w:sz w:val="22"/>
      </w:rPr>
      <w:tbl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i/>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i/>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1049">
    <w:name w:val="List Table 7 Colorful - Accent 1"/>
    <w:basedOn w:val="950"/>
    <w:uiPriority w:val="99"/>
    <w:tblPr>
      <w:tblStyleRowBandSize w:val="1"/>
      <w:tblStyleColBandSize w:val="1"/>
      <w:tblBorders>
        <w:right w:val="single" w:color="4F81BD" w:themeColor="accent1" w:sz="4" w:space="0"/>
      </w:tblBorders>
      <w:tblCellMar>
        <w:left w:w="108" w:type="dxa"/>
        <w:top w:w="0" w:type="dxa"/>
        <w:right w:w="108" w:type="dxa"/>
        <w:bottom w:w="0" w:type="dxa"/>
      </w:tblCellMar>
    </w:tblPr>
    <w:tblStylePr w:type="band1Horz">
      <w:rPr>
        <w:color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themeColor="accent1" w:themeShade="95"/>
        <w:sz w:val="22"/>
      </w:rPr>
      <w:tbl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firstRow">
      <w:rPr>
        <w:i/>
        <w:color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Col">
      <w:rPr>
        <w:i/>
        <w:color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lastRow">
      <w:rPr>
        <w:i/>
        <w:color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1050">
    <w:name w:val="List Table 7 Colorful - Accent 2"/>
    <w:basedOn w:val="950"/>
    <w:uiPriority w:val="99"/>
    <w:tblPr>
      <w:tblStyleRowBandSize w:val="1"/>
      <w:tblStyleColBandSize w:val="1"/>
      <w:tblBorders>
        <w:right w:val="single" w:color="D99695" w:themeColor="accent2" w:themeTint="97" w:sz="4" w:space="0"/>
      </w:tblBorders>
      <w:tblCellMar>
        <w:left w:w="108" w:type="dxa"/>
        <w:top w:w="0" w:type="dxa"/>
        <w:right w:w="108" w:type="dxa"/>
        <w:bottom w:w="0" w:type="dxa"/>
      </w:tblCellMar>
    </w:tblPr>
    <w:tblStylePr w:type="band1Horz">
      <w:rPr>
        <w:color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themeColor="accent2" w:themeTint="97" w:themeShade="95"/>
        <w:sz w:val="22"/>
      </w:rPr>
      <w:tbl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i/>
        <w:color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i/>
        <w:color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1051">
    <w:name w:val="List Table 7 Colorful - Accent 3"/>
    <w:basedOn w:val="950"/>
    <w:uiPriority w:val="99"/>
    <w:tblPr>
      <w:tblStyleRowBandSize w:val="1"/>
      <w:tblStyleColBandSize w:val="1"/>
      <w:tblBorders>
        <w:right w:val="single" w:color="C3D69B" w:themeColor="accent3" w:themeTint="98" w:sz="4" w:space="0"/>
      </w:tblBorders>
      <w:tblCellMar>
        <w:left w:w="108" w:type="dxa"/>
        <w:top w:w="0" w:type="dxa"/>
        <w:right w:w="108" w:type="dxa"/>
        <w:bottom w:w="0" w:type="dxa"/>
      </w:tblCellMar>
    </w:tblPr>
    <w:tblStylePr w:type="band1Horz">
      <w:rPr>
        <w:color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themeColor="accent3" w:themeTint="98" w:themeShade="95"/>
        <w:sz w:val="22"/>
      </w:rPr>
      <w:tbl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C3D69B" w:themeColor="accent3" w:sz="4" w:space="0"/>
        </w:tcBorders>
        <w:shd w:val="clear" w:color="FFFFFF" w:fill="auto"/>
      </w:tcPr>
    </w:tblStylePr>
    <w:tblStylePr w:type="firstRow">
      <w:rPr>
        <w:i/>
        <w:color w:themeColor="accent3" w:themeTint="98" w:themeShade="95"/>
        <w:sz w:val="22"/>
      </w:rPr>
      <w:tblPr/>
      <w:tcPr>
        <w:tcBorders>
          <w:top w:val="none" w:color="000000" w:sz="4" w:space="0"/>
          <w:left w:val="none" w:color="000000" w:sz="4" w:space="0"/>
          <w:bottom w:val="single" w:color="C3D69B" w:themeColor="accent3" w:sz="4" w:space="0"/>
          <w:right w:val="none" w:color="000000" w:sz="4" w:space="0"/>
        </w:tcBorders>
        <w:shd w:val="clear" w:color="FFFFFF" w:fill="FFFFFF" w:themeFill="light1"/>
      </w:tcPr>
    </w:tblStylePr>
    <w:tblStylePr w:type="lastCol">
      <w:rPr>
        <w:i/>
        <w:color w:themeColor="accent3" w:themeTint="98" w:themeShade="95"/>
        <w:sz w:val="22"/>
      </w:rPr>
      <w:tblPr/>
      <w:tcPr>
        <w:tcBorders>
          <w:top w:val="none" w:color="000000" w:sz="4" w:space="0"/>
          <w:left w:val="single" w:color="C3D69B" w:themeColor="accent3" w:sz="4" w:space="0"/>
          <w:bottom w:val="none" w:color="000000" w:sz="4" w:space="0"/>
          <w:right w:val="none" w:color="000000" w:sz="4" w:space="0"/>
        </w:tcBorders>
        <w:shd w:val="clear" w:color="FFFFFF" w:fill="auto"/>
      </w:tcPr>
    </w:tblStylePr>
    <w:tblStylePr w:type="lastRow">
      <w:rPr>
        <w:i/>
        <w:color w:themeColor="accent3" w:themeTint="98" w:themeShade="95"/>
        <w:sz w:val="22"/>
      </w:rPr>
      <w:tblPr/>
      <w:tcPr>
        <w:tcBorders>
          <w:top w:val="single" w:color="C3D69B"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1052">
    <w:name w:val="List Table 7 Colorful - Accent 4"/>
    <w:basedOn w:val="950"/>
    <w:uiPriority w:val="99"/>
    <w:tblPr>
      <w:tblStyleRowBandSize w:val="1"/>
      <w:tblStyleColBandSize w:val="1"/>
      <w:tblBorders>
        <w:right w:val="single" w:color="B2A1C6" w:themeColor="accent4" w:themeTint="9a" w:sz="4" w:space="0"/>
      </w:tblBorders>
      <w:tblCellMar>
        <w:left w:w="108" w:type="dxa"/>
        <w:top w:w="0" w:type="dxa"/>
        <w:right w:w="108" w:type="dxa"/>
        <w:bottom w:w="0" w:type="dxa"/>
      </w:tblCellMar>
    </w:tblPr>
    <w:tblStylePr w:type="band1Horz">
      <w:rPr>
        <w:color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themeColor="accent4" w:themeTint="9a" w:themeShade="95"/>
        <w:sz w:val="22"/>
      </w:rPr>
      <w:tbl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i/>
        <w:color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i/>
        <w:color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1053">
    <w:name w:val="List Table 7 Colorful - Accent 5"/>
    <w:basedOn w:val="950"/>
    <w:uiPriority w:val="99"/>
    <w:tblPr>
      <w:tblStyleRowBandSize w:val="1"/>
      <w:tblStyleColBandSize w:val="1"/>
      <w:tblBorders>
        <w:right w:val="single" w:color="92CCDC" w:themeColor="accent5" w:themeTint="9a" w:sz="4" w:space="0"/>
      </w:tblBorders>
      <w:tblCellMar>
        <w:left w:w="108" w:type="dxa"/>
        <w:top w:w="0" w:type="dxa"/>
        <w:right w:w="108" w:type="dxa"/>
        <w:bottom w:w="0" w:type="dxa"/>
      </w:tblCellMar>
    </w:tblPr>
    <w:tblStylePr w:type="band1Horz">
      <w:rPr>
        <w:color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themeColor="accent5" w:themeTint="9a" w:themeShade="95"/>
        <w:sz w:val="22"/>
      </w:rPr>
      <w:tbl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92CCDC" w:themeColor="accent5" w:sz="4" w:space="0"/>
        </w:tcBorders>
        <w:shd w:val="clear" w:color="FFFFFF" w:fill="auto"/>
      </w:tcPr>
    </w:tblStylePr>
    <w:tblStylePr w:type="firstRow">
      <w:rPr>
        <w:i/>
        <w:color w:themeColor="accent5" w:themeTint="9a" w:themeShade="95"/>
        <w:sz w:val="22"/>
      </w:rPr>
      <w:tblPr/>
      <w:tcPr>
        <w:tcBorders>
          <w:top w:val="none" w:color="000000" w:sz="4" w:space="0"/>
          <w:left w:val="none" w:color="000000" w:sz="4" w:space="0"/>
          <w:bottom w:val="single" w:color="92CCDC" w:themeColor="accent5" w:sz="4" w:space="0"/>
          <w:right w:val="none" w:color="000000" w:sz="4" w:space="0"/>
        </w:tcBorders>
        <w:shd w:val="clear" w:color="FFFFFF" w:fill="FFFFFF" w:themeFill="light1"/>
      </w:tcPr>
    </w:tblStylePr>
    <w:tblStylePr w:type="lastCol">
      <w:rPr>
        <w:i/>
        <w:color w:themeColor="accent5" w:themeTint="9a" w:themeShade="95"/>
        <w:sz w:val="22"/>
      </w:rPr>
      <w:tblPr/>
      <w:tcPr>
        <w:tcBorders>
          <w:top w:val="none" w:color="000000" w:sz="4" w:space="0"/>
          <w:left w:val="single" w:color="92CCDC" w:themeColor="accent5" w:sz="4" w:space="0"/>
          <w:bottom w:val="none" w:color="000000" w:sz="4" w:space="0"/>
          <w:right w:val="none" w:color="000000" w:sz="4" w:space="0"/>
        </w:tcBorders>
        <w:shd w:val="clear" w:color="FFFFFF" w:fill="auto"/>
      </w:tcPr>
    </w:tblStylePr>
    <w:tblStylePr w:type="lastRow">
      <w:rPr>
        <w:i/>
        <w:color w:themeColor="accent5" w:themeTint="9a" w:themeShade="95"/>
        <w:sz w:val="22"/>
      </w:rPr>
      <w:tblPr/>
      <w:tcPr>
        <w:tcBorders>
          <w:top w:val="single" w:color="92CCDC"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1054">
    <w:name w:val="List Table 7 Colorful - Accent 6"/>
    <w:basedOn w:val="950"/>
    <w:uiPriority w:val="99"/>
    <w:tblPr>
      <w:tblStyleRowBandSize w:val="1"/>
      <w:tblStyleColBandSize w:val="1"/>
      <w:tblBorders>
        <w:right w:val="single" w:color="FAC090" w:themeColor="accent6" w:themeTint="98" w:sz="4" w:space="0"/>
      </w:tblBorders>
      <w:tblCellMar>
        <w:left w:w="108" w:type="dxa"/>
        <w:top w:w="0" w:type="dxa"/>
        <w:right w:w="108" w:type="dxa"/>
        <w:bottom w:w="0" w:type="dxa"/>
      </w:tblCellMar>
    </w:tblPr>
    <w:tblStylePr w:type="band1Horz">
      <w:rPr>
        <w:color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themeColor="accent6" w:themeTint="98" w:themeShade="95"/>
        <w:sz w:val="22"/>
      </w:rPr>
      <w:tbl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FAC090" w:themeColor="accent6" w:sz="4" w:space="0"/>
        </w:tcBorders>
        <w:shd w:val="clear" w:color="FFFFFF" w:fill="auto"/>
      </w:tcPr>
    </w:tblStylePr>
    <w:tblStylePr w:type="firstRow">
      <w:rPr>
        <w:i/>
        <w:color w:themeColor="accent6" w:themeTint="98" w:themeShade="95"/>
        <w:sz w:val="22"/>
      </w:rPr>
      <w:tblPr/>
      <w:tcPr>
        <w:tcBorders>
          <w:top w:val="none" w:color="000000" w:sz="4" w:space="0"/>
          <w:left w:val="none" w:color="000000" w:sz="4" w:space="0"/>
          <w:bottom w:val="single" w:color="FAC090" w:themeColor="accent6" w:sz="4" w:space="0"/>
          <w:right w:val="none" w:color="000000" w:sz="4" w:space="0"/>
        </w:tcBorders>
        <w:shd w:val="clear" w:color="FFFFFF" w:fill="FFFFFF" w:themeFill="light1"/>
      </w:tcPr>
    </w:tblStylePr>
    <w:tblStylePr w:type="lastCol">
      <w:rPr>
        <w:i/>
        <w:color w:themeColor="accent6" w:themeTint="98" w:themeShade="95"/>
        <w:sz w:val="22"/>
      </w:rPr>
      <w:tblPr/>
      <w:tcPr>
        <w:tcBorders>
          <w:top w:val="none" w:color="000000" w:sz="4" w:space="0"/>
          <w:left w:val="single" w:color="FAC090" w:themeColor="accent6" w:sz="4" w:space="0"/>
          <w:bottom w:val="none" w:color="000000" w:sz="4" w:space="0"/>
          <w:right w:val="none" w:color="000000" w:sz="4" w:space="0"/>
        </w:tcBorders>
        <w:shd w:val="clear" w:color="FFFFFF" w:fill="auto"/>
      </w:tcPr>
    </w:tblStylePr>
    <w:tblStylePr w:type="lastRow">
      <w:rPr>
        <w:i/>
        <w:color w:themeColor="accent6" w:themeTint="98" w:themeShade="95"/>
        <w:sz w:val="22"/>
      </w:rPr>
      <w:tblPr/>
      <w:tcPr>
        <w:tcBorders>
          <w:top w:val="single" w:color="FAC090"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1055">
    <w:name w:val="Lined - Accent"/>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F2F2F2" w:fill="F2F2F2" w:themeFill="text1" w:themeFillTint="0"/>
      </w:tcPr>
    </w:tblStylePr>
    <w:tblStylePr w:type="band2Vert">
      <w:rPr>
        <w:sz w:val="22"/>
      </w:rPr>
      <w:tblPr/>
      <w:tcPr>
        <w:shd w:val="clear" w:color="F2F2F2" w:fill="F2F2F2" w:themeFill="text1" w:themeFillTint="0"/>
      </w:tcPr>
    </w:tblStylePr>
    <w:tblStylePr w:type="firstCol">
      <w:rPr>
        <w:sz w:val="22"/>
      </w:rPr>
      <w:tblPr/>
      <w:tcPr>
        <w:shd w:val="clear" w:color="7F7F7F" w:fill="7F7F7F" w:themeFill="text1" w:themeFillTint="80"/>
      </w:tcPr>
    </w:tblStylePr>
    <w:tblStylePr w:type="firstRow">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lastRow">
      <w:rPr>
        <w:sz w:val="22"/>
      </w:rPr>
      <w:tblPr/>
      <w:tcPr>
        <w:shd w:val="clear" w:color="7F7F7F" w:fill="7F7F7F" w:themeFill="text1" w:themeFillTint="80"/>
      </w:tcPr>
    </w:tblStylePr>
  </w:style>
  <w:style w:type="table" w:customStyle="1" w:styleId="1056">
    <w:name w:val="Lined - Accent 1"/>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C7D7EA" w:fill="C7D7EA" w:themeFill="accent1" w:themeFillTint="50"/>
      </w:tcPr>
    </w:tblStylePr>
    <w:tblStylePr w:type="band2Vert">
      <w:rPr>
        <w:sz w:val="22"/>
      </w:rPr>
      <w:tblPr/>
      <w:tcPr>
        <w:shd w:val="clear" w:color="C7D7EA" w:fill="C7D7EA" w:themeFill="accent1" w:themeFillTint="50"/>
      </w:tcPr>
    </w:tblStylePr>
    <w:tblStylePr w:type="firstCol">
      <w:rPr>
        <w:sz w:val="22"/>
      </w:rPr>
      <w:tblPr/>
      <w:tcPr>
        <w:shd w:val="clear" w:color="5D8AC2" w:fill="5D8AC2" w:themeFill="accent1" w:themeFillTint="ea"/>
      </w:tcPr>
    </w:tblStylePr>
    <w:tblStylePr w:type="firstRow">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style>
  <w:style w:type="table" w:customStyle="1" w:styleId="1057">
    <w:name w:val="Lined - Accent 2"/>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F2DCDC" w:fill="F2DCDC" w:themeFill="accent2" w:themeFillTint="32"/>
      </w:tcPr>
    </w:tblStylePr>
    <w:tblStylePr w:type="band2Vert">
      <w:rPr>
        <w:sz w:val="22"/>
      </w:rPr>
      <w:tblPr/>
      <w:tcPr>
        <w:shd w:val="clear" w:color="F2DCDC" w:fill="F2DCDC" w:themeFill="accent2" w:themeFillTint="32"/>
      </w:tcPr>
    </w:tblStylePr>
    <w:tblStylePr w:type="firstCol">
      <w:rPr>
        <w:sz w:val="22"/>
      </w:rPr>
      <w:tblPr/>
      <w:tcPr>
        <w:shd w:val="clear" w:color="D99695" w:fill="D99695" w:themeFill="accent2" w:themeFillTint="97"/>
      </w:tcPr>
    </w:tblStylePr>
    <w:tblStylePr w:type="firstRow">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style>
  <w:style w:type="table" w:customStyle="1" w:styleId="1058">
    <w:name w:val="Lined - Accent 3"/>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EAF1DC" w:fill="EAF1DC" w:themeFill="accent3" w:themeFillTint="34"/>
      </w:tcPr>
    </w:tblStylePr>
    <w:tblStylePr w:type="band2Vert">
      <w:rPr>
        <w:sz w:val="22"/>
      </w:rPr>
      <w:tblPr/>
      <w:tcPr>
        <w:shd w:val="clear" w:color="EAF1DC" w:fill="EAF1DC" w:themeFill="accent3" w:themeFillTint="34"/>
      </w:tcPr>
    </w:tblStylePr>
    <w:tblStylePr w:type="firstCol">
      <w:rPr>
        <w:sz w:val="22"/>
      </w:rPr>
      <w:tblPr/>
      <w:tcPr>
        <w:shd w:val="clear" w:color="9ABB59" w:fill="9ABB59" w:themeFill="accent3" w:themeFillTint="fe"/>
      </w:tcPr>
    </w:tblStylePr>
    <w:tblStylePr w:type="firstRow">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style>
  <w:style w:type="table" w:customStyle="1" w:styleId="1059">
    <w:name w:val="Lined - Accent 4"/>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E5DFEC" w:fill="E5DFEC" w:themeFill="accent4" w:themeFillTint="34"/>
      </w:tcPr>
    </w:tblStylePr>
    <w:tblStylePr w:type="band2Vert">
      <w:rPr>
        <w:sz w:val="22"/>
      </w:rPr>
      <w:tblPr/>
      <w:tcPr>
        <w:shd w:val="clear" w:color="E5DFEC" w:fill="E5DFEC" w:themeFill="accent4" w:themeFillTint="34"/>
      </w:tcPr>
    </w:tblStylePr>
    <w:tblStylePr w:type="firstCol">
      <w:rPr>
        <w:sz w:val="22"/>
      </w:rPr>
      <w:tblPr/>
      <w:tcPr>
        <w:shd w:val="clear" w:color="B2A1C6" w:fill="B2A1C6" w:themeFill="accent4" w:themeFillTint="9a"/>
      </w:tcPr>
    </w:tblStylePr>
    <w:tblStylePr w:type="firstRow">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style>
  <w:style w:type="table" w:customStyle="1" w:styleId="1060">
    <w:name w:val="Lined - Accent 5"/>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DAEEF3" w:fill="DAEEF3" w:themeFill="accent5" w:themeFillTint="34"/>
      </w:tcPr>
    </w:tblStylePr>
    <w:tblStylePr w:type="band2Vert">
      <w:rPr>
        <w:sz w:val="22"/>
      </w:rPr>
      <w:tblPr/>
      <w:tcPr>
        <w:shd w:val="clear" w:color="DAEEF3" w:fill="DAEEF3" w:themeFill="accent5" w:themeFillTint="34"/>
      </w:tcPr>
    </w:tblStylePr>
    <w:tblStylePr w:type="firstCol">
      <w:rPr>
        <w:sz w:val="22"/>
      </w:rPr>
      <w:tblPr/>
      <w:tcPr>
        <w:shd w:val="clear" w:color="4BACC6" w:fill="4BACC6" w:themeFill="accent5"/>
      </w:tcPr>
    </w:tblStylePr>
    <w:tblStylePr w:type="firstRow">
      <w:rPr>
        <w:sz w:val="22"/>
      </w:rPr>
      <w:tblPr/>
      <w:tcPr>
        <w:shd w:val="clear" w:color="4BACC6" w:fill="4BACC6" w:themeFill="accent5"/>
      </w:tcPr>
    </w:tblStylePr>
    <w:tblStylePr w:type="lastCol">
      <w:rPr>
        <w:sz w:val="22"/>
      </w:rPr>
      <w:tblPr/>
      <w:tcPr>
        <w:shd w:val="clear" w:color="4BACC6" w:fill="4BACC6" w:themeFill="accent5"/>
      </w:tcPr>
    </w:tblStylePr>
    <w:tblStylePr w:type="lastRow">
      <w:rPr>
        <w:sz w:val="22"/>
      </w:rPr>
      <w:tblPr/>
      <w:tcPr>
        <w:shd w:val="clear" w:color="4BACC6" w:fill="4BACC6" w:themeFill="accent5"/>
      </w:tcPr>
    </w:tblStylePr>
  </w:style>
  <w:style w:type="table" w:customStyle="1" w:styleId="1061">
    <w:name w:val="Lined - Accent 6"/>
    <w:basedOn w:val="950"/>
    <w:uiPriority w:val="99"/>
    <w:tblPr>
      <w:tblStyleRowBandSize w:val="1"/>
      <w:tblStyleColBandSize w:val="1"/>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FDE9D8" w:fill="FDE9D8" w:themeFill="accent6" w:themeFillTint="34"/>
      </w:tcPr>
    </w:tblStylePr>
    <w:tblStylePr w:type="band2Vert">
      <w:rPr>
        <w:sz w:val="22"/>
      </w:rPr>
      <w:tblPr/>
      <w:tcPr>
        <w:shd w:val="clear" w:color="FDE9D8" w:fill="FDE9D8" w:themeFill="accent6" w:themeFillTint="34"/>
      </w:tcPr>
    </w:tblStylePr>
    <w:tblStylePr w:type="firstCol">
      <w:rPr>
        <w:sz w:val="22"/>
      </w:rPr>
      <w:tblPr/>
      <w:tcPr>
        <w:shd w:val="clear" w:color="F79646" w:fill="F79646" w:themeFill="accent6"/>
      </w:tcPr>
    </w:tblStylePr>
    <w:tblStylePr w:type="firstRow">
      <w:rPr>
        <w:sz w:val="22"/>
      </w:rPr>
      <w:tblPr/>
      <w:tcPr>
        <w:shd w:val="clear" w:color="F79646" w:fill="F79646" w:themeFill="accent6"/>
      </w:tcPr>
    </w:tblStylePr>
    <w:tblStylePr w:type="lastCol">
      <w:rPr>
        <w:sz w:val="22"/>
      </w:rPr>
      <w:tblPr/>
      <w:tcPr>
        <w:shd w:val="clear" w:color="F79646" w:fill="F79646" w:themeFill="accent6"/>
      </w:tcPr>
    </w:tblStylePr>
    <w:tblStylePr w:type="lastRow">
      <w:rPr>
        <w:sz w:val="22"/>
      </w:rPr>
      <w:tblPr/>
      <w:tcPr>
        <w:shd w:val="clear" w:color="F79646" w:fill="F79646" w:themeFill="accent6"/>
      </w:tcPr>
    </w:tblStylePr>
  </w:style>
  <w:style w:type="table" w:customStyle="1" w:styleId="1062">
    <w:name w:val="Bordered &amp; Lined - Accent"/>
    <w:basedOn w:val="950"/>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F2F2F2" w:fill="F2F2F2" w:themeFill="text1" w:themeFillTint="0"/>
      </w:tcPr>
    </w:tblStylePr>
    <w:tblStylePr w:type="band2Vert">
      <w:rPr>
        <w:sz w:val="22"/>
      </w:rPr>
      <w:tblPr/>
      <w:tcPr>
        <w:shd w:val="clear" w:color="F2F2F2" w:fill="F2F2F2" w:themeFill="text1" w:themeFillTint="0"/>
      </w:tcPr>
    </w:tblStylePr>
    <w:tblStylePr w:type="firstCol">
      <w:rPr>
        <w:sz w:val="22"/>
      </w:rPr>
      <w:tblPr/>
      <w:tcPr>
        <w:shd w:val="clear" w:color="7F7F7F" w:fill="7F7F7F" w:themeFill="text1" w:themeFillTint="80"/>
      </w:tcPr>
    </w:tblStylePr>
    <w:tblStylePr w:type="firstRow">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lastRow">
      <w:rPr>
        <w:sz w:val="22"/>
      </w:rPr>
      <w:tblPr/>
      <w:tcPr>
        <w:shd w:val="clear" w:color="7F7F7F" w:fill="7F7F7F" w:themeFill="text1" w:themeFillTint="80"/>
      </w:tcPr>
    </w:tblStylePr>
  </w:style>
  <w:style w:type="table" w:customStyle="1" w:styleId="1063">
    <w:name w:val="Bordered &amp; Lined - Accent 1"/>
    <w:basedOn w:val="950"/>
    <w:uiPriority w:val="99"/>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C7D7EA" w:fill="C7D7EA" w:themeFill="accent1" w:themeFillTint="50"/>
      </w:tcPr>
    </w:tblStylePr>
    <w:tblStylePr w:type="band2Vert">
      <w:rPr>
        <w:sz w:val="22"/>
      </w:rPr>
      <w:tblPr/>
      <w:tcPr>
        <w:shd w:val="clear" w:color="C7D7EA" w:fill="C7D7EA" w:themeFill="accent1" w:themeFillTint="50"/>
      </w:tcPr>
    </w:tblStylePr>
    <w:tblStylePr w:type="firstCol">
      <w:rPr>
        <w:sz w:val="22"/>
      </w:rPr>
      <w:tblPr/>
      <w:tcPr>
        <w:shd w:val="clear" w:color="5D8AC2" w:fill="5D8AC2" w:themeFill="accent1" w:themeFillTint="ea"/>
      </w:tcPr>
    </w:tblStylePr>
    <w:tblStylePr w:type="firstRow">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style>
  <w:style w:type="table" w:customStyle="1" w:styleId="1064">
    <w:name w:val="Bordered &amp; Lined - Accent 2"/>
    <w:basedOn w:val="950"/>
    <w:uiPriority w:val="99"/>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F2DCDC" w:fill="F2DCDC" w:themeFill="accent2" w:themeFillTint="32"/>
      </w:tcPr>
    </w:tblStylePr>
    <w:tblStylePr w:type="band2Vert">
      <w:rPr>
        <w:sz w:val="22"/>
      </w:rPr>
      <w:tblPr/>
      <w:tcPr>
        <w:shd w:val="clear" w:color="F2DCDC" w:fill="F2DCDC" w:themeFill="accent2" w:themeFillTint="32"/>
      </w:tcPr>
    </w:tblStylePr>
    <w:tblStylePr w:type="firstCol">
      <w:rPr>
        <w:sz w:val="22"/>
      </w:rPr>
      <w:tblPr/>
      <w:tcPr>
        <w:shd w:val="clear" w:color="D99695" w:fill="D99695" w:themeFill="accent2" w:themeFillTint="97"/>
      </w:tcPr>
    </w:tblStylePr>
    <w:tblStylePr w:type="firstRow">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style>
  <w:style w:type="table" w:customStyle="1" w:styleId="1065">
    <w:name w:val="Bordered &amp; Lined - Accent 3"/>
    <w:basedOn w:val="950"/>
    <w:uiPriority w:val="99"/>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EAF1DC" w:fill="EAF1DC" w:themeFill="accent3" w:themeFillTint="34"/>
      </w:tcPr>
    </w:tblStylePr>
    <w:tblStylePr w:type="band2Vert">
      <w:rPr>
        <w:sz w:val="22"/>
      </w:rPr>
      <w:tblPr/>
      <w:tcPr>
        <w:shd w:val="clear" w:color="EAF1DC" w:fill="EAF1DC" w:themeFill="accent3" w:themeFillTint="34"/>
      </w:tcPr>
    </w:tblStylePr>
    <w:tblStylePr w:type="firstCol">
      <w:rPr>
        <w:sz w:val="22"/>
      </w:rPr>
      <w:tblPr/>
      <w:tcPr>
        <w:shd w:val="clear" w:color="9ABB59" w:fill="9ABB59" w:themeFill="accent3" w:themeFillTint="fe"/>
      </w:tcPr>
    </w:tblStylePr>
    <w:tblStylePr w:type="firstRow">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style>
  <w:style w:type="table" w:customStyle="1" w:styleId="1066">
    <w:name w:val="Bordered &amp; Lined - Accent 4"/>
    <w:basedOn w:val="950"/>
    <w:uiPriority w:val="99"/>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E5DFEC" w:fill="E5DFEC" w:themeFill="accent4" w:themeFillTint="34"/>
      </w:tcPr>
    </w:tblStylePr>
    <w:tblStylePr w:type="band2Vert">
      <w:rPr>
        <w:sz w:val="22"/>
      </w:rPr>
      <w:tblPr/>
      <w:tcPr>
        <w:shd w:val="clear" w:color="E5DFEC" w:fill="E5DFEC" w:themeFill="accent4" w:themeFillTint="34"/>
      </w:tcPr>
    </w:tblStylePr>
    <w:tblStylePr w:type="firstCol">
      <w:rPr>
        <w:sz w:val="22"/>
      </w:rPr>
      <w:tblPr/>
      <w:tcPr>
        <w:shd w:val="clear" w:color="B2A1C6" w:fill="B2A1C6" w:themeFill="accent4" w:themeFillTint="9a"/>
      </w:tcPr>
    </w:tblStylePr>
    <w:tblStylePr w:type="firstRow">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style>
  <w:style w:type="table" w:customStyle="1" w:styleId="1067">
    <w:name w:val="Bordered &amp; Lined - Accent 5"/>
    <w:basedOn w:val="950"/>
    <w:uiPriority w:val="99"/>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DAEEF3" w:fill="DAEEF3" w:themeFill="accent5" w:themeFillTint="34"/>
      </w:tcPr>
    </w:tblStylePr>
    <w:tblStylePr w:type="band2Vert">
      <w:rPr>
        <w:sz w:val="22"/>
      </w:rPr>
      <w:tblPr/>
      <w:tcPr>
        <w:shd w:val="clear" w:color="DAEEF3" w:fill="DAEEF3" w:themeFill="accent5" w:themeFillTint="34"/>
      </w:tcPr>
    </w:tblStylePr>
    <w:tblStylePr w:type="firstCol">
      <w:rPr>
        <w:sz w:val="22"/>
      </w:rPr>
      <w:tblPr/>
      <w:tcPr>
        <w:shd w:val="clear" w:color="4BACC6" w:fill="4BACC6" w:themeFill="accent5"/>
      </w:tcPr>
    </w:tblStylePr>
    <w:tblStylePr w:type="firstRow">
      <w:rPr>
        <w:sz w:val="22"/>
      </w:rPr>
      <w:tblPr/>
      <w:tcPr>
        <w:shd w:val="clear" w:color="4BACC6" w:fill="4BACC6" w:themeFill="accent5"/>
      </w:tcPr>
    </w:tblStylePr>
    <w:tblStylePr w:type="lastCol">
      <w:rPr>
        <w:sz w:val="22"/>
      </w:rPr>
      <w:tblPr/>
      <w:tcPr>
        <w:shd w:val="clear" w:color="4BACC6" w:fill="4BACC6" w:themeFill="accent5"/>
      </w:tcPr>
    </w:tblStylePr>
    <w:tblStylePr w:type="lastRow">
      <w:rPr>
        <w:sz w:val="22"/>
      </w:rPr>
      <w:tblPr/>
      <w:tcPr>
        <w:shd w:val="clear" w:color="4BACC6" w:fill="4BACC6" w:themeFill="accent5"/>
      </w:tcPr>
    </w:tblStylePr>
  </w:style>
  <w:style w:type="table" w:customStyle="1" w:styleId="1068">
    <w:name w:val="Bordered &amp; Lined - Accent 6"/>
    <w:basedOn w:val="950"/>
    <w:uiPriority w:val="99"/>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CellMar>
        <w:left w:w="108" w:type="dxa"/>
        <w:top w:w="0" w:type="dxa"/>
        <w:right w:w="108" w:type="dxa"/>
        <w:bottom w:w="0" w:type="dxa"/>
      </w:tblCellMar>
    </w:tblPr>
    <w:tblStylePr w:type="band1Horz">
      <w:rPr>
        <w:sz w:val="22"/>
      </w:rPr>
      <w:tblPr/>
    </w:tblStylePr>
    <w:tblStylePr w:type="band1Vert">
      <w:rPr>
        <w:sz w:val="22"/>
      </w:rPr>
      <w:tblPr/>
    </w:tblStylePr>
    <w:tblStylePr w:type="band2Horz">
      <w:rPr>
        <w:sz w:val="22"/>
      </w:rPr>
      <w:tblPr/>
      <w:tcPr>
        <w:shd w:val="clear" w:color="FDE9D8" w:fill="FDE9D8" w:themeFill="accent6" w:themeFillTint="34"/>
      </w:tcPr>
    </w:tblStylePr>
    <w:tblStylePr w:type="band2Vert">
      <w:rPr>
        <w:sz w:val="22"/>
      </w:rPr>
      <w:tblPr/>
      <w:tcPr>
        <w:shd w:val="clear" w:color="FDE9D8" w:fill="FDE9D8" w:themeFill="accent6" w:themeFillTint="34"/>
      </w:tcPr>
    </w:tblStylePr>
    <w:tblStylePr w:type="firstCol">
      <w:rPr>
        <w:sz w:val="22"/>
      </w:rPr>
      <w:tblPr/>
      <w:tcPr>
        <w:shd w:val="clear" w:color="F79646" w:fill="F79646" w:themeFill="accent6"/>
      </w:tcPr>
    </w:tblStylePr>
    <w:tblStylePr w:type="firstRow">
      <w:rPr>
        <w:sz w:val="22"/>
      </w:rPr>
      <w:tblPr/>
      <w:tcPr>
        <w:shd w:val="clear" w:color="F79646" w:fill="F79646" w:themeFill="accent6"/>
      </w:tcPr>
    </w:tblStylePr>
    <w:tblStylePr w:type="lastCol">
      <w:rPr>
        <w:sz w:val="22"/>
      </w:rPr>
      <w:tblPr/>
      <w:tcPr>
        <w:shd w:val="clear" w:color="F79646" w:fill="F79646" w:themeFill="accent6"/>
      </w:tcPr>
    </w:tblStylePr>
    <w:tblStylePr w:type="lastRow">
      <w:rPr>
        <w:sz w:val="22"/>
      </w:rPr>
      <w:tblPr/>
      <w:tcPr>
        <w:shd w:val="clear" w:color="F79646" w:fill="F79646" w:themeFill="accent6"/>
      </w:tcPr>
    </w:tblStylePr>
  </w:style>
  <w:style w:type="table" w:customStyle="1" w:styleId="1069">
    <w:name w:val="Bordered"/>
    <w:basedOn w:val="950"/>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108" w:type="dxa"/>
        <w:top w:w="0" w:type="dxa"/>
        <w:right w:w="108" w:type="dxa"/>
        <w:bottom w:w="0" w:type="dxa"/>
      </w:tblCellMar>
    </w:tblPr>
    <w:tblStylePr w:type="band1Horz">
      <w:rPr>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sz w:val="22"/>
      </w:rPr>
      <w:tblPr/>
    </w:tblStylePr>
    <w:tblStylePr w:type="firstRow">
      <w:rPr>
        <w:sz w:val="22"/>
      </w:rPr>
      <w:tblPr/>
      <w:tcPr>
        <w:tcBorders>
          <w:bottom w:val="single" w:color="7F7F7F" w:themeColor="text1" w:sz="12" w:space="0"/>
        </w:tcBorders>
      </w:tcPr>
    </w:tblStylePr>
    <w:tblStylePr w:type="lastCol">
      <w:rPr>
        <w:sz w:val="22"/>
      </w:rPr>
      <w:tblPr/>
      <w:tcPr>
        <w:tcBorders>
          <w:left w:val="single" w:color="7F7F7F" w:themeColor="text1" w:sz="12" w:space="0"/>
        </w:tcBorders>
      </w:tcPr>
    </w:tblStylePr>
    <w:tblStylePr w:type="lastRow">
      <w:rPr>
        <w:sz w:val="22"/>
      </w:rPr>
      <w:tblPr/>
      <w:tcPr>
        <w:tcBorders>
          <w:top w:val="single" w:color="7F7F7F" w:themeColor="text1" w:sz="12" w:space="0"/>
        </w:tcBorders>
      </w:tcPr>
    </w:tblStylePr>
  </w:style>
  <w:style w:type="table" w:customStyle="1" w:styleId="1070">
    <w:name w:val="Bordered - Accent 1"/>
    <w:basedOn w:val="950"/>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sz w:val="22"/>
      </w:rPr>
      <w:tblPr/>
    </w:tblStylePr>
    <w:tblStylePr w:type="firstRow">
      <w:rPr>
        <w:sz w:val="22"/>
      </w:rPr>
      <w:tblPr/>
      <w:tcPr>
        <w:tcBorders>
          <w:bottom w:val="single" w:color="4F81BD" w:themeColor="accent1" w:sz="12" w:space="0"/>
        </w:tcBorders>
      </w:tcPr>
    </w:tblStylePr>
    <w:tblStylePr w:type="lastCol">
      <w:rPr>
        <w:sz w:val="22"/>
      </w:rPr>
      <w:tblPr/>
      <w:tcPr>
        <w:tcBorders>
          <w:left w:val="single" w:color="4F81BD" w:themeColor="accent1" w:sz="12" w:space="0"/>
        </w:tcBorders>
      </w:tcPr>
    </w:tblStylePr>
    <w:tblStylePr w:type="lastRow">
      <w:rPr>
        <w:sz w:val="22"/>
      </w:rPr>
      <w:tblPr/>
      <w:tcPr>
        <w:tcBorders>
          <w:top w:val="single" w:color="4F81BD" w:themeColor="accent1" w:sz="12" w:space="0"/>
        </w:tcBorders>
      </w:tcPr>
    </w:tblStylePr>
  </w:style>
  <w:style w:type="table" w:customStyle="1" w:styleId="1071">
    <w:name w:val="Bordered - Accent 2"/>
    <w:basedOn w:val="950"/>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sz w:val="22"/>
      </w:rPr>
      <w:tblPr/>
    </w:tblStylePr>
    <w:tblStylePr w:type="firstRow">
      <w:rPr>
        <w:sz w:val="22"/>
      </w:rPr>
      <w:tblPr/>
      <w:tcPr>
        <w:tcBorders>
          <w:bottom w:val="single" w:color="D99695" w:themeColor="accent2" w:sz="12" w:space="0"/>
        </w:tcBorders>
      </w:tcPr>
    </w:tblStylePr>
    <w:tblStylePr w:type="lastCol">
      <w:rPr>
        <w:sz w:val="22"/>
      </w:rPr>
      <w:tblPr/>
      <w:tcPr>
        <w:tcBorders>
          <w:left w:val="single" w:color="D99695" w:themeColor="accent2" w:sz="12" w:space="0"/>
        </w:tcBorders>
      </w:tcPr>
    </w:tblStylePr>
    <w:tblStylePr w:type="lastRow">
      <w:rPr>
        <w:sz w:val="22"/>
      </w:rPr>
      <w:tblPr/>
      <w:tcPr>
        <w:tcBorders>
          <w:top w:val="single" w:color="D99695" w:themeColor="accent2" w:sz="12" w:space="0"/>
        </w:tcBorders>
      </w:tcPr>
    </w:tblStylePr>
  </w:style>
  <w:style w:type="table" w:customStyle="1" w:styleId="1072">
    <w:name w:val="Bordered - Accent 3"/>
    <w:basedOn w:val="950"/>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sz w:val="22"/>
      </w:rPr>
      <w:tblPr/>
    </w:tblStylePr>
    <w:tblStylePr w:type="firstRow">
      <w:rPr>
        <w:sz w:val="22"/>
      </w:rPr>
      <w:tblPr/>
      <w:tcPr>
        <w:tcBorders>
          <w:bottom w:val="single" w:color="C3D69B" w:themeColor="accent3" w:sz="12" w:space="0"/>
        </w:tcBorders>
      </w:tcPr>
    </w:tblStylePr>
    <w:tblStylePr w:type="lastCol">
      <w:rPr>
        <w:sz w:val="22"/>
      </w:rPr>
      <w:tblPr/>
      <w:tcPr>
        <w:tcBorders>
          <w:left w:val="single" w:color="C3D69B" w:themeColor="accent3" w:sz="12" w:space="0"/>
        </w:tcBorders>
      </w:tcPr>
    </w:tblStylePr>
    <w:tblStylePr w:type="lastRow">
      <w:rPr>
        <w:sz w:val="22"/>
      </w:rPr>
      <w:tblPr/>
      <w:tcPr>
        <w:tcBorders>
          <w:top w:val="single" w:color="C3D69B" w:themeColor="accent3" w:sz="12" w:space="0"/>
        </w:tcBorders>
      </w:tcPr>
    </w:tblStylePr>
  </w:style>
  <w:style w:type="table" w:customStyle="1" w:styleId="1073">
    <w:name w:val="Bordered - Accent 4"/>
    <w:basedOn w:val="950"/>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sz w:val="22"/>
      </w:rPr>
      <w:tblPr/>
    </w:tblStylePr>
    <w:tblStylePr w:type="firstRow">
      <w:rPr>
        <w:sz w:val="22"/>
      </w:rPr>
      <w:tblPr/>
      <w:tcPr>
        <w:tcBorders>
          <w:bottom w:val="single" w:color="B2A1C6" w:themeColor="accent4" w:sz="12" w:space="0"/>
        </w:tcBorders>
      </w:tcPr>
    </w:tblStylePr>
    <w:tblStylePr w:type="lastCol">
      <w:rPr>
        <w:sz w:val="22"/>
      </w:rPr>
      <w:tblPr/>
      <w:tcPr>
        <w:tcBorders>
          <w:left w:val="single" w:color="B2A1C6" w:themeColor="accent4" w:sz="12" w:space="0"/>
        </w:tcBorders>
      </w:tcPr>
    </w:tblStylePr>
    <w:tblStylePr w:type="lastRow">
      <w:rPr>
        <w:sz w:val="22"/>
      </w:rPr>
      <w:tblPr/>
      <w:tcPr>
        <w:tcBorders>
          <w:top w:val="single" w:color="B2A1C6" w:themeColor="accent4" w:sz="12" w:space="0"/>
        </w:tcBorders>
      </w:tcPr>
    </w:tblStylePr>
  </w:style>
  <w:style w:type="table" w:customStyle="1" w:styleId="1074">
    <w:name w:val="Bordered - Accent 5"/>
    <w:basedOn w:val="950"/>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sz w:val="22"/>
      </w:rPr>
      <w:tblPr/>
    </w:tblStylePr>
    <w:tblStylePr w:type="firstRow">
      <w:rPr>
        <w:sz w:val="22"/>
      </w:rPr>
      <w:tblPr/>
      <w:tcPr>
        <w:tcBorders>
          <w:bottom w:val="single" w:color="92CCDC" w:themeColor="accent5" w:sz="12" w:space="0"/>
        </w:tcBorders>
      </w:tcPr>
    </w:tblStylePr>
    <w:tblStylePr w:type="lastCol">
      <w:rPr>
        <w:sz w:val="22"/>
      </w:rPr>
      <w:tblPr/>
      <w:tcPr>
        <w:tcBorders>
          <w:left w:val="single" w:color="92CCDC" w:themeColor="accent5" w:sz="12" w:space="0"/>
        </w:tcBorders>
      </w:tcPr>
    </w:tblStylePr>
    <w:tblStylePr w:type="lastRow">
      <w:rPr>
        <w:sz w:val="22"/>
      </w:rPr>
      <w:tblPr/>
      <w:tcPr>
        <w:tcBorders>
          <w:top w:val="single" w:color="92CCDC" w:themeColor="accent5" w:sz="12" w:space="0"/>
        </w:tcBorders>
      </w:tcPr>
    </w:tblStylePr>
  </w:style>
  <w:style w:type="table" w:customStyle="1" w:styleId="1075">
    <w:name w:val="Bordered - Accent 6"/>
    <w:basedOn w:val="950"/>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sz w:val="22"/>
      </w:rPr>
      <w:tblPr/>
    </w:tblStylePr>
    <w:tblStylePr w:type="firstRow">
      <w:rPr>
        <w:sz w:val="22"/>
      </w:rPr>
      <w:tblPr/>
      <w:tcPr>
        <w:tcBorders>
          <w:bottom w:val="single" w:color="FAC090" w:themeColor="accent6" w:sz="12" w:space="0"/>
        </w:tcBorders>
      </w:tcPr>
    </w:tblStylePr>
    <w:tblStylePr w:type="lastCol">
      <w:rPr>
        <w:sz w:val="22"/>
      </w:rPr>
      <w:tblPr/>
      <w:tcPr>
        <w:tcBorders>
          <w:left w:val="single" w:color="FAC090" w:themeColor="accent6" w:sz="12" w:space="0"/>
        </w:tcBorders>
      </w:tcPr>
    </w:tblStylePr>
    <w:tblStylePr w:type="lastRow">
      <w:rPr>
        <w:sz w:val="22"/>
      </w:rPr>
      <w:tblPr/>
      <w:tcPr>
        <w:tcBorders>
          <w:top w:val="single" w:color="FAC090" w:themeColor="accent6" w:sz="12" w:space="0"/>
        </w:tcBorders>
      </w:tcPr>
    </w:tblStylePr>
  </w:style>
  <w:style w:type="table" w:styleId="1076">
    <w:name w:val="Table Grid"/>
    <w:basedOn w:val="950"/>
    <w:pPr>
      <w:spacing w:line="360" w:lineRule="auto"/>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mailto:doc-ats@dgk.ru"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410AE-C98D-47B7-85CD-1DFE86597712}">
  <ds:schemaRefs>
    <ds:schemaRef ds:uri="http://schemas.openxmlformats.org/officeDocument/2006/bibliography"/>
  </ds:schemaRefs>
</ds:datastoreItem>
</file>

<file path=customXml/itemProps2.xml><?xml version="1.0" encoding="utf-8"?>
<ds:datastoreItem xmlns:ds="http://schemas.openxmlformats.org/officeDocument/2006/customXml" ds:itemID="{6705CA85-9DF8-44B8-9A1B-F0AA5177D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Application>LibreOffice/7.6.7.2$Linux_X86_64 LibreOffice_project/60$Build-2</Application>
  <AppVersion>15.0000</AppVersion>
  <Pages>36</Pages>
  <Words>15325</Words>
  <Characters>109568</Characters>
  <CharactersWithSpaces>125129</CharactersWithSpaces>
  <Paragraphs>567</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2023-02-08T05:07:00Z</dcterms:created>
  <dc:creator>UK VoHEC</dc:creator>
  <dc:description/>
  <dc:language>ru-RU</dc:language>
  <cp:lastModifiedBy/>
  <dcterms:modified xsi:type="dcterms:W3CDTF">2026-03-02T12:15:15Z</dcterms:modified>
  <cp:revision>260</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